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64256" w14:textId="77777777" w:rsidR="00450592" w:rsidRDefault="00450592" w:rsidP="00450592">
      <w:pPr>
        <w:pStyle w:val="Heading2"/>
      </w:pPr>
      <w:r>
        <w:t>Gini in the Bottle</w:t>
      </w:r>
    </w:p>
    <w:p w14:paraId="755B985C" w14:textId="77777777" w:rsidR="00450592" w:rsidRDefault="00450592" w:rsidP="00D1064B">
      <w:r>
        <w:t xml:space="preserve">For many years </w:t>
      </w:r>
      <w:r w:rsidR="003B639B">
        <w:t xml:space="preserve">the </w:t>
      </w:r>
      <w:r>
        <w:t xml:space="preserve">debate about income inequality </w:t>
      </w:r>
      <w:r w:rsidR="000254B5">
        <w:t xml:space="preserve">has </w:t>
      </w:r>
      <w:r w:rsidR="003B639B">
        <w:t xml:space="preserve">seemed to me to behave like </w:t>
      </w:r>
      <w:r>
        <w:t xml:space="preserve">some of my more primitive attempts at cooking.  For a while it simmers, </w:t>
      </w:r>
      <w:r w:rsidR="00B13E82">
        <w:t xml:space="preserve">warranting almost no </w:t>
      </w:r>
      <w:r>
        <w:t xml:space="preserve">attention and sitting there </w:t>
      </w:r>
      <w:r w:rsidR="00B13E82">
        <w:t xml:space="preserve">like the proverbial watched pot </w:t>
      </w:r>
      <w:r>
        <w:t>with nothing happening.  Then, as some</w:t>
      </w:r>
      <w:r w:rsidR="00B8659E">
        <w:t xml:space="preserve"> political burner </w:t>
      </w:r>
      <w:r>
        <w:t xml:space="preserve">turns up the heat, it boils over into something </w:t>
      </w:r>
      <w:r w:rsidR="00B8659E">
        <w:t xml:space="preserve">messy </w:t>
      </w:r>
      <w:r>
        <w:t xml:space="preserve">like the Occupy movement, </w:t>
      </w:r>
      <w:r w:rsidR="00B13E82">
        <w:t xml:space="preserve">suddenly demanding damage control and cleanup.   And much like my aborted attempts at food preparation neither of these situations </w:t>
      </w:r>
      <w:r w:rsidR="002447CD">
        <w:t xml:space="preserve">ends up </w:t>
      </w:r>
      <w:r w:rsidR="00B13E82">
        <w:t>lead</w:t>
      </w:r>
      <w:r w:rsidR="002447CD">
        <w:t>ing</w:t>
      </w:r>
      <w:r w:rsidR="00B13E82">
        <w:t xml:space="preserve"> to anything satisfying.</w:t>
      </w:r>
    </w:p>
    <w:p w14:paraId="55F0E753" w14:textId="77777777" w:rsidR="00B13E82" w:rsidRDefault="002447CD" w:rsidP="00D1064B">
      <w:r>
        <w:t xml:space="preserve">As a result, my interest in the </w:t>
      </w:r>
      <w:r w:rsidR="000254B5">
        <w:t xml:space="preserve">income inequality </w:t>
      </w:r>
      <w:r>
        <w:t>debate falls into the same place in my mind as do</w:t>
      </w:r>
      <w:r w:rsidR="000254B5">
        <w:t>es my interest in</w:t>
      </w:r>
      <w:r>
        <w:t xml:space="preserve"> the culinary arts – a dusty corner where I vaguely recognize that people are passionate about it but where I reason </w:t>
      </w:r>
      <w:r w:rsidR="000959F3">
        <w:t xml:space="preserve">that </w:t>
      </w:r>
      <w:r>
        <w:t>I’ve nothing to contribute</w:t>
      </w:r>
      <w:r w:rsidR="008758C9">
        <w:t xml:space="preserve"> </w:t>
      </w:r>
      <w:r w:rsidR="000959F3">
        <w:t>to it and it has nothing to contribute to me.  A</w:t>
      </w:r>
      <w:r w:rsidR="008758C9">
        <w:t>nd so I basically tune</w:t>
      </w:r>
      <w:r w:rsidR="000959F3">
        <w:t>d</w:t>
      </w:r>
      <w:r w:rsidR="008758C9">
        <w:t xml:space="preserve"> it out</w:t>
      </w:r>
      <w:r>
        <w:t xml:space="preserve">.  This situation has thawed for me this past week </w:t>
      </w:r>
      <w:r w:rsidR="008758C9">
        <w:t xml:space="preserve">(forgive what will be the last food analogy) </w:t>
      </w:r>
      <w:r>
        <w:t xml:space="preserve">with </w:t>
      </w:r>
      <w:r w:rsidR="008758C9">
        <w:t xml:space="preserve">the publication of an intriguing </w:t>
      </w:r>
      <w:r w:rsidR="000254B5">
        <w:t xml:space="preserve">nugget in an </w:t>
      </w:r>
      <w:r w:rsidR="008758C9">
        <w:t xml:space="preserve">article </w:t>
      </w:r>
      <w:r w:rsidR="000254B5">
        <w:t xml:space="preserve">from </w:t>
      </w:r>
      <w:r w:rsidR="008758C9">
        <w:t>the Washington Post.</w:t>
      </w:r>
    </w:p>
    <w:p w14:paraId="15E73631" w14:textId="77777777" w:rsidR="008758C9" w:rsidRDefault="008758C9" w:rsidP="00D1064B">
      <w:r>
        <w:t>In th</w:t>
      </w:r>
      <w:r w:rsidR="000254B5">
        <w:t>is</w:t>
      </w:r>
      <w:r>
        <w:t xml:space="preserve"> article, entitled </w:t>
      </w:r>
      <w:hyperlink r:id="rId6" w:history="1">
        <w:r w:rsidRPr="008758C9">
          <w:rPr>
            <w:rStyle w:val="Hyperlink"/>
          </w:rPr>
          <w:t>‘Income Inequality – the issue the Democrats want’</w:t>
        </w:r>
      </w:hyperlink>
      <w:r>
        <w:t xml:space="preserve">, Ed Rogers </w:t>
      </w:r>
      <w:r w:rsidR="00285310">
        <w:t>rails against what he paints as the Democrat hypocrisy.  The point that Rogers tries to make is that the Democrats don’t want to address income inequality they simply want to use it a political tool to separate their message from the</w:t>
      </w:r>
      <w:r w:rsidR="001659AE">
        <w:t xml:space="preserve"> Republican one.  </w:t>
      </w:r>
      <w:r w:rsidR="000254B5">
        <w:t>He may be correct – I don’t know</w:t>
      </w:r>
      <w:r w:rsidR="00683D48">
        <w:t xml:space="preserve"> </w:t>
      </w:r>
      <w:r w:rsidR="000254B5">
        <w:t>–</w:t>
      </w:r>
      <w:r w:rsidR="00683D48">
        <w:t xml:space="preserve"> </w:t>
      </w:r>
      <w:r w:rsidR="000254B5">
        <w:t>but</w:t>
      </w:r>
      <w:r w:rsidR="00D32CA2">
        <w:t>,</w:t>
      </w:r>
      <w:r w:rsidR="000254B5">
        <w:t xml:space="preserve"> </w:t>
      </w:r>
      <w:r w:rsidR="00D32CA2">
        <w:t xml:space="preserve">just as I was going to stop reading at the end of the third paragraph, he posed the question ‘What exactly is “income inequality”?’ This grabbed my attention and I found out that </w:t>
      </w:r>
      <w:r w:rsidR="000254B5">
        <w:t>income inequality is measure</w:t>
      </w:r>
      <w:r w:rsidR="00455858">
        <w:t>d</w:t>
      </w:r>
      <w:r w:rsidR="000254B5">
        <w:t xml:space="preserve"> by something called a Gini Coefficient. </w:t>
      </w:r>
      <w:r w:rsidR="001659AE">
        <w:t xml:space="preserve"> </w:t>
      </w:r>
      <w:r w:rsidR="00B62738">
        <w:t xml:space="preserve">Suddenly I was there was a possibility of real data and actual statistical analysis and I got excited.  </w:t>
      </w:r>
      <w:r w:rsidR="001659AE">
        <w:t xml:space="preserve">Rogers also cites as strong support for his contention an article in the New York Times entitled </w:t>
      </w:r>
      <w:hyperlink r:id="rId7" w:history="1">
        <w:r w:rsidR="001659AE" w:rsidRPr="001659AE">
          <w:rPr>
            <w:rStyle w:val="Hyperlink"/>
          </w:rPr>
          <w:t>Is Life Better in America’s Red States?</w:t>
        </w:r>
      </w:hyperlink>
      <w:r w:rsidR="001659AE">
        <w:t xml:space="preserve">  In this article, by Richard Florida, presents a chart of Gini coefficients calculated by state that show that the majority of worst 21 states in terms of income inequality in 2012 are in blue or purple states compared with the majority being red in states in 1979.  </w:t>
      </w:r>
      <w:r w:rsidR="00B62738">
        <w:t>Suddenly there was actual tabulated data showing a before and after situation.</w:t>
      </w:r>
    </w:p>
    <w:p w14:paraId="6216C3E0" w14:textId="77777777" w:rsidR="00451095" w:rsidRDefault="00451095" w:rsidP="00D1064B">
      <w:r>
        <w:t>I then went off to try to understand the Gini Coefficient</w:t>
      </w:r>
      <w:r w:rsidR="00455858">
        <w:t>, which, i</w:t>
      </w:r>
      <w:r>
        <w:t>n a nutshell</w:t>
      </w:r>
      <w:r w:rsidR="00DA4B04">
        <w:t xml:space="preserve">, is based on something called a Lorenz Curve.   Resolving to go only one more turtle down, I then </w:t>
      </w:r>
      <w:r w:rsidR="001659AE">
        <w:t xml:space="preserve">set </w:t>
      </w:r>
      <w:r w:rsidR="00455858">
        <w:t xml:space="preserve">myself </w:t>
      </w:r>
      <w:r w:rsidR="00DA4B04">
        <w:t xml:space="preserve">to understand the Lorenz curve.  Fortunately a Lorenz curve is relatively easy to understand. </w:t>
      </w:r>
    </w:p>
    <w:p w14:paraId="1E654C8E" w14:textId="77777777" w:rsidR="00DA4B04" w:rsidRDefault="00DA4B04" w:rsidP="00D1064B">
      <w:r>
        <w:t xml:space="preserve">The whole machine starts with a table of income distributions.  The simplest presentation </w:t>
      </w:r>
      <w:r w:rsidR="00455858">
        <w:t xml:space="preserve">I’ve found </w:t>
      </w:r>
      <w:r>
        <w:t xml:space="preserve">is from Timothy Taylor’s book </w:t>
      </w:r>
      <w:hyperlink r:id="rId8" w:history="1">
        <w:r w:rsidRPr="00DA4B04">
          <w:rPr>
            <w:rStyle w:val="Hyperlink"/>
            <w:i/>
          </w:rPr>
          <w:t>Principle of Economics: Economics and the Economy, 2</w:t>
        </w:r>
        <w:r w:rsidRPr="00DA4B04">
          <w:rPr>
            <w:rStyle w:val="Hyperlink"/>
            <w:i/>
            <w:vertAlign w:val="superscript"/>
          </w:rPr>
          <w:t>nd</w:t>
        </w:r>
        <w:r w:rsidRPr="00DA4B04">
          <w:rPr>
            <w:rStyle w:val="Hyperlink"/>
            <w:i/>
          </w:rPr>
          <w:t xml:space="preserve"> edition</w:t>
        </w:r>
      </w:hyperlink>
      <w:r>
        <w:t xml:space="preserve">.  Start by dividing the existing population into quintiles and then measure the income that each quintile receives for a given year.  For </w:t>
      </w:r>
      <w:proofErr w:type="gramStart"/>
      <w:r>
        <w:t>example ,</w:t>
      </w:r>
      <w:proofErr w:type="gramEnd"/>
      <w:r>
        <w:t xml:space="preserve"> in the years 1967</w:t>
      </w:r>
      <w:r w:rsidR="00B32391">
        <w:t xml:space="preserve"> (the first year measured in the US)</w:t>
      </w:r>
      <w:r>
        <w:t>, 1985, and 2005, the income distribution looks like</w:t>
      </w:r>
    </w:p>
    <w:tbl>
      <w:tblPr>
        <w:tblStyle w:val="TableGrid"/>
        <w:tblW w:w="0" w:type="auto"/>
        <w:jc w:val="center"/>
        <w:tblLook w:val="04A0" w:firstRow="1" w:lastRow="0" w:firstColumn="1" w:lastColumn="0" w:noHBand="0" w:noVBand="1"/>
      </w:tblPr>
      <w:tblGrid>
        <w:gridCol w:w="1107"/>
        <w:gridCol w:w="1107"/>
        <w:gridCol w:w="1107"/>
        <w:gridCol w:w="1107"/>
      </w:tblGrid>
      <w:tr w:rsidR="00455858" w14:paraId="785ABAA7" w14:textId="77777777" w:rsidTr="007F2D44">
        <w:trPr>
          <w:jc w:val="center"/>
        </w:trPr>
        <w:tc>
          <w:tcPr>
            <w:tcW w:w="1107" w:type="dxa"/>
          </w:tcPr>
          <w:p w14:paraId="2F36B7CF" w14:textId="77777777" w:rsidR="00455858" w:rsidRDefault="00455858" w:rsidP="00D1064B"/>
        </w:tc>
        <w:tc>
          <w:tcPr>
            <w:tcW w:w="3321" w:type="dxa"/>
            <w:gridSpan w:val="3"/>
          </w:tcPr>
          <w:p w14:paraId="613639F8" w14:textId="77777777" w:rsidR="00455858" w:rsidRDefault="00455858" w:rsidP="00455858">
            <w:pPr>
              <w:jc w:val="center"/>
            </w:pPr>
            <w:r>
              <w:t>Percentage Income Distribution</w:t>
            </w:r>
          </w:p>
        </w:tc>
      </w:tr>
      <w:tr w:rsidR="00DA4B04" w14:paraId="4F170164" w14:textId="77777777" w:rsidTr="00DA4B04">
        <w:trPr>
          <w:jc w:val="center"/>
        </w:trPr>
        <w:tc>
          <w:tcPr>
            <w:tcW w:w="1107" w:type="dxa"/>
          </w:tcPr>
          <w:p w14:paraId="4BB79785" w14:textId="77777777" w:rsidR="00DA4B04" w:rsidRDefault="00DA4B04" w:rsidP="00D1064B">
            <w:r>
              <w:t>Quintile</w:t>
            </w:r>
          </w:p>
        </w:tc>
        <w:tc>
          <w:tcPr>
            <w:tcW w:w="1107" w:type="dxa"/>
          </w:tcPr>
          <w:p w14:paraId="5D3CB716" w14:textId="77777777" w:rsidR="00DA4B04" w:rsidRDefault="00DA4B04" w:rsidP="00D1064B">
            <w:r>
              <w:t>1967</w:t>
            </w:r>
          </w:p>
        </w:tc>
        <w:tc>
          <w:tcPr>
            <w:tcW w:w="1107" w:type="dxa"/>
          </w:tcPr>
          <w:p w14:paraId="7D48A4CD" w14:textId="77777777" w:rsidR="00DA4B04" w:rsidRDefault="00DA4B04" w:rsidP="00D1064B">
            <w:r>
              <w:t>1985</w:t>
            </w:r>
          </w:p>
        </w:tc>
        <w:tc>
          <w:tcPr>
            <w:tcW w:w="1107" w:type="dxa"/>
          </w:tcPr>
          <w:p w14:paraId="66E73632" w14:textId="77777777" w:rsidR="00DA4B04" w:rsidRDefault="00DA4B04" w:rsidP="00D1064B">
            <w:r>
              <w:t>2005</w:t>
            </w:r>
          </w:p>
        </w:tc>
      </w:tr>
      <w:tr w:rsidR="00DA4B04" w14:paraId="64AC29B5" w14:textId="77777777" w:rsidTr="007F2D44">
        <w:trPr>
          <w:jc w:val="center"/>
        </w:trPr>
        <w:tc>
          <w:tcPr>
            <w:tcW w:w="1107" w:type="dxa"/>
          </w:tcPr>
          <w:p w14:paraId="409D4261" w14:textId="77777777" w:rsidR="00DA4B04" w:rsidRDefault="00DA4B04" w:rsidP="00D1064B">
            <w:r>
              <w:t>1</w:t>
            </w:r>
            <w:r w:rsidRPr="00DA4B04">
              <w:rPr>
                <w:vertAlign w:val="superscript"/>
              </w:rPr>
              <w:t>st</w:t>
            </w:r>
          </w:p>
        </w:tc>
        <w:tc>
          <w:tcPr>
            <w:tcW w:w="1107" w:type="dxa"/>
            <w:vAlign w:val="bottom"/>
          </w:tcPr>
          <w:p w14:paraId="6C08500A" w14:textId="77777777" w:rsidR="00DA4B04" w:rsidRDefault="00DA4B04">
            <w:pPr>
              <w:jc w:val="right"/>
              <w:rPr>
                <w:rFonts w:ascii="Calibri" w:hAnsi="Calibri"/>
                <w:color w:val="000000"/>
              </w:rPr>
            </w:pPr>
            <w:r>
              <w:rPr>
                <w:rFonts w:ascii="Calibri" w:hAnsi="Calibri"/>
                <w:color w:val="000000"/>
              </w:rPr>
              <w:t>4</w:t>
            </w:r>
            <w:r w:rsidR="00455858">
              <w:rPr>
                <w:rFonts w:ascii="Calibri" w:hAnsi="Calibri"/>
                <w:color w:val="000000"/>
              </w:rPr>
              <w:t>.0</w:t>
            </w:r>
          </w:p>
        </w:tc>
        <w:tc>
          <w:tcPr>
            <w:tcW w:w="1107" w:type="dxa"/>
            <w:vAlign w:val="bottom"/>
          </w:tcPr>
          <w:p w14:paraId="15F37071" w14:textId="77777777" w:rsidR="00DA4B04" w:rsidRDefault="00DA4B04">
            <w:pPr>
              <w:jc w:val="right"/>
              <w:rPr>
                <w:rFonts w:ascii="Calibri" w:hAnsi="Calibri"/>
                <w:color w:val="000000"/>
              </w:rPr>
            </w:pPr>
            <w:r>
              <w:rPr>
                <w:rFonts w:ascii="Calibri" w:hAnsi="Calibri"/>
                <w:color w:val="000000"/>
              </w:rPr>
              <w:t>3.9</w:t>
            </w:r>
          </w:p>
        </w:tc>
        <w:tc>
          <w:tcPr>
            <w:tcW w:w="1107" w:type="dxa"/>
            <w:vAlign w:val="bottom"/>
          </w:tcPr>
          <w:p w14:paraId="372D6C9A" w14:textId="77777777" w:rsidR="00DA4B04" w:rsidRDefault="00DA4B04">
            <w:pPr>
              <w:jc w:val="right"/>
              <w:rPr>
                <w:rFonts w:ascii="Calibri" w:hAnsi="Calibri"/>
                <w:color w:val="000000"/>
              </w:rPr>
            </w:pPr>
            <w:r>
              <w:rPr>
                <w:rFonts w:ascii="Calibri" w:hAnsi="Calibri"/>
                <w:color w:val="000000"/>
              </w:rPr>
              <w:t>3.4</w:t>
            </w:r>
          </w:p>
        </w:tc>
      </w:tr>
      <w:tr w:rsidR="00DA4B04" w14:paraId="26A5FD2F" w14:textId="77777777" w:rsidTr="007F2D44">
        <w:trPr>
          <w:jc w:val="center"/>
        </w:trPr>
        <w:tc>
          <w:tcPr>
            <w:tcW w:w="1107" w:type="dxa"/>
          </w:tcPr>
          <w:p w14:paraId="3BC8F5D2" w14:textId="77777777" w:rsidR="00DA4B04" w:rsidRDefault="00DA4B04" w:rsidP="00D1064B">
            <w:r>
              <w:t>2</w:t>
            </w:r>
            <w:r w:rsidRPr="00DA4B04">
              <w:rPr>
                <w:vertAlign w:val="superscript"/>
              </w:rPr>
              <w:t>nd</w:t>
            </w:r>
          </w:p>
        </w:tc>
        <w:tc>
          <w:tcPr>
            <w:tcW w:w="1107" w:type="dxa"/>
            <w:vAlign w:val="bottom"/>
          </w:tcPr>
          <w:p w14:paraId="278B56CD" w14:textId="77777777" w:rsidR="00DA4B04" w:rsidRDefault="00DA4B04">
            <w:pPr>
              <w:jc w:val="right"/>
              <w:rPr>
                <w:rFonts w:ascii="Calibri" w:hAnsi="Calibri"/>
                <w:color w:val="000000"/>
              </w:rPr>
            </w:pPr>
            <w:r>
              <w:rPr>
                <w:rFonts w:ascii="Calibri" w:hAnsi="Calibri"/>
                <w:color w:val="000000"/>
              </w:rPr>
              <w:t>10.8</w:t>
            </w:r>
          </w:p>
        </w:tc>
        <w:tc>
          <w:tcPr>
            <w:tcW w:w="1107" w:type="dxa"/>
            <w:vAlign w:val="bottom"/>
          </w:tcPr>
          <w:p w14:paraId="278DC453" w14:textId="77777777" w:rsidR="00DA4B04" w:rsidRDefault="00DA4B04">
            <w:pPr>
              <w:jc w:val="right"/>
              <w:rPr>
                <w:rFonts w:ascii="Calibri" w:hAnsi="Calibri"/>
                <w:color w:val="000000"/>
              </w:rPr>
            </w:pPr>
            <w:r>
              <w:rPr>
                <w:rFonts w:ascii="Calibri" w:hAnsi="Calibri"/>
                <w:color w:val="000000"/>
              </w:rPr>
              <w:t>9.8</w:t>
            </w:r>
          </w:p>
        </w:tc>
        <w:tc>
          <w:tcPr>
            <w:tcW w:w="1107" w:type="dxa"/>
            <w:vAlign w:val="bottom"/>
          </w:tcPr>
          <w:p w14:paraId="04B1736E" w14:textId="77777777" w:rsidR="00DA4B04" w:rsidRDefault="00DA4B04">
            <w:pPr>
              <w:jc w:val="right"/>
              <w:rPr>
                <w:rFonts w:ascii="Calibri" w:hAnsi="Calibri"/>
                <w:color w:val="000000"/>
              </w:rPr>
            </w:pPr>
            <w:r>
              <w:rPr>
                <w:rFonts w:ascii="Calibri" w:hAnsi="Calibri"/>
                <w:color w:val="000000"/>
              </w:rPr>
              <w:t>8.6</w:t>
            </w:r>
          </w:p>
        </w:tc>
      </w:tr>
      <w:tr w:rsidR="00DA4B04" w14:paraId="6A0EE045" w14:textId="77777777" w:rsidTr="007F2D44">
        <w:trPr>
          <w:jc w:val="center"/>
        </w:trPr>
        <w:tc>
          <w:tcPr>
            <w:tcW w:w="1107" w:type="dxa"/>
          </w:tcPr>
          <w:p w14:paraId="48EEACB8" w14:textId="77777777" w:rsidR="00DA4B04" w:rsidRDefault="00DA4B04" w:rsidP="00D1064B">
            <w:r>
              <w:lastRenderedPageBreak/>
              <w:t>3</w:t>
            </w:r>
            <w:r w:rsidRPr="00DA4B04">
              <w:rPr>
                <w:vertAlign w:val="superscript"/>
              </w:rPr>
              <w:t>rd</w:t>
            </w:r>
          </w:p>
        </w:tc>
        <w:tc>
          <w:tcPr>
            <w:tcW w:w="1107" w:type="dxa"/>
            <w:vAlign w:val="bottom"/>
          </w:tcPr>
          <w:p w14:paraId="0764F4FA" w14:textId="77777777" w:rsidR="00DA4B04" w:rsidRDefault="00DA4B04">
            <w:pPr>
              <w:jc w:val="right"/>
              <w:rPr>
                <w:rFonts w:ascii="Calibri" w:hAnsi="Calibri"/>
                <w:color w:val="000000"/>
              </w:rPr>
            </w:pPr>
            <w:r>
              <w:rPr>
                <w:rFonts w:ascii="Calibri" w:hAnsi="Calibri"/>
                <w:color w:val="000000"/>
              </w:rPr>
              <w:t>17.4</w:t>
            </w:r>
          </w:p>
        </w:tc>
        <w:tc>
          <w:tcPr>
            <w:tcW w:w="1107" w:type="dxa"/>
            <w:vAlign w:val="bottom"/>
          </w:tcPr>
          <w:p w14:paraId="4716BE09" w14:textId="77777777" w:rsidR="00DA4B04" w:rsidRDefault="00DA4B04">
            <w:pPr>
              <w:jc w:val="right"/>
              <w:rPr>
                <w:rFonts w:ascii="Calibri" w:hAnsi="Calibri"/>
                <w:color w:val="000000"/>
              </w:rPr>
            </w:pPr>
            <w:r>
              <w:rPr>
                <w:rFonts w:ascii="Calibri" w:hAnsi="Calibri"/>
                <w:color w:val="000000"/>
              </w:rPr>
              <w:t>16.3</w:t>
            </w:r>
          </w:p>
        </w:tc>
        <w:tc>
          <w:tcPr>
            <w:tcW w:w="1107" w:type="dxa"/>
            <w:vAlign w:val="bottom"/>
          </w:tcPr>
          <w:p w14:paraId="4E854758" w14:textId="77777777" w:rsidR="00DA4B04" w:rsidRDefault="00DA4B04">
            <w:pPr>
              <w:jc w:val="right"/>
              <w:rPr>
                <w:rFonts w:ascii="Calibri" w:hAnsi="Calibri"/>
                <w:color w:val="000000"/>
              </w:rPr>
            </w:pPr>
            <w:r>
              <w:rPr>
                <w:rFonts w:ascii="Calibri" w:hAnsi="Calibri"/>
                <w:color w:val="000000"/>
              </w:rPr>
              <w:t>14.6</w:t>
            </w:r>
          </w:p>
        </w:tc>
      </w:tr>
      <w:tr w:rsidR="00DA4B04" w14:paraId="6A2EF953" w14:textId="77777777" w:rsidTr="007F2D44">
        <w:trPr>
          <w:jc w:val="center"/>
        </w:trPr>
        <w:tc>
          <w:tcPr>
            <w:tcW w:w="1107" w:type="dxa"/>
          </w:tcPr>
          <w:p w14:paraId="57BEA715" w14:textId="77777777" w:rsidR="00DA4B04" w:rsidRDefault="00DA4B04" w:rsidP="00D1064B">
            <w:r>
              <w:t>4</w:t>
            </w:r>
            <w:r w:rsidRPr="00DA4B04">
              <w:rPr>
                <w:vertAlign w:val="superscript"/>
              </w:rPr>
              <w:t>th</w:t>
            </w:r>
          </w:p>
        </w:tc>
        <w:tc>
          <w:tcPr>
            <w:tcW w:w="1107" w:type="dxa"/>
            <w:vAlign w:val="bottom"/>
          </w:tcPr>
          <w:p w14:paraId="481CBFAC" w14:textId="77777777" w:rsidR="00DA4B04" w:rsidRDefault="00DA4B04">
            <w:pPr>
              <w:jc w:val="right"/>
              <w:rPr>
                <w:rFonts w:ascii="Calibri" w:hAnsi="Calibri"/>
                <w:color w:val="000000"/>
              </w:rPr>
            </w:pPr>
            <w:r>
              <w:rPr>
                <w:rFonts w:ascii="Calibri" w:hAnsi="Calibri"/>
                <w:color w:val="000000"/>
              </w:rPr>
              <w:t>24.2</w:t>
            </w:r>
          </w:p>
        </w:tc>
        <w:tc>
          <w:tcPr>
            <w:tcW w:w="1107" w:type="dxa"/>
            <w:vAlign w:val="bottom"/>
          </w:tcPr>
          <w:p w14:paraId="11F20AAB" w14:textId="77777777" w:rsidR="00DA4B04" w:rsidRDefault="00DA4B04">
            <w:pPr>
              <w:jc w:val="right"/>
              <w:rPr>
                <w:rFonts w:ascii="Calibri" w:hAnsi="Calibri"/>
                <w:color w:val="000000"/>
              </w:rPr>
            </w:pPr>
            <w:r>
              <w:rPr>
                <w:rFonts w:ascii="Calibri" w:hAnsi="Calibri"/>
                <w:color w:val="000000"/>
              </w:rPr>
              <w:t>24.4</w:t>
            </w:r>
          </w:p>
        </w:tc>
        <w:tc>
          <w:tcPr>
            <w:tcW w:w="1107" w:type="dxa"/>
            <w:vAlign w:val="bottom"/>
          </w:tcPr>
          <w:p w14:paraId="0D900C27" w14:textId="77777777" w:rsidR="00DA4B04" w:rsidRDefault="00DA4B04">
            <w:pPr>
              <w:jc w:val="right"/>
              <w:rPr>
                <w:rFonts w:ascii="Calibri" w:hAnsi="Calibri"/>
                <w:color w:val="000000"/>
              </w:rPr>
            </w:pPr>
            <w:r>
              <w:rPr>
                <w:rFonts w:ascii="Calibri" w:hAnsi="Calibri"/>
                <w:color w:val="000000"/>
              </w:rPr>
              <w:t>23</w:t>
            </w:r>
            <w:r w:rsidR="00455858">
              <w:rPr>
                <w:rFonts w:ascii="Calibri" w:hAnsi="Calibri"/>
                <w:color w:val="000000"/>
              </w:rPr>
              <w:t>.0</w:t>
            </w:r>
          </w:p>
        </w:tc>
      </w:tr>
      <w:tr w:rsidR="00DA4B04" w14:paraId="325142AE" w14:textId="77777777" w:rsidTr="007F2D44">
        <w:trPr>
          <w:jc w:val="center"/>
        </w:trPr>
        <w:tc>
          <w:tcPr>
            <w:tcW w:w="1107" w:type="dxa"/>
          </w:tcPr>
          <w:p w14:paraId="271FD818" w14:textId="77777777" w:rsidR="00DA4B04" w:rsidRDefault="00DA4B04" w:rsidP="00D1064B">
            <w:r>
              <w:t>5</w:t>
            </w:r>
            <w:r w:rsidRPr="00DA4B04">
              <w:rPr>
                <w:vertAlign w:val="superscript"/>
              </w:rPr>
              <w:t>th</w:t>
            </w:r>
          </w:p>
        </w:tc>
        <w:tc>
          <w:tcPr>
            <w:tcW w:w="1107" w:type="dxa"/>
            <w:vAlign w:val="bottom"/>
          </w:tcPr>
          <w:p w14:paraId="0BB1DCA0" w14:textId="77777777" w:rsidR="00DA4B04" w:rsidRDefault="00DA4B04">
            <w:pPr>
              <w:jc w:val="right"/>
              <w:rPr>
                <w:rFonts w:ascii="Calibri" w:hAnsi="Calibri"/>
                <w:color w:val="000000"/>
              </w:rPr>
            </w:pPr>
            <w:r>
              <w:rPr>
                <w:rFonts w:ascii="Calibri" w:hAnsi="Calibri"/>
                <w:color w:val="000000"/>
              </w:rPr>
              <w:t>43.6</w:t>
            </w:r>
          </w:p>
        </w:tc>
        <w:tc>
          <w:tcPr>
            <w:tcW w:w="1107" w:type="dxa"/>
            <w:vAlign w:val="bottom"/>
          </w:tcPr>
          <w:p w14:paraId="416999AD" w14:textId="77777777" w:rsidR="00DA4B04" w:rsidRDefault="00DA4B04">
            <w:pPr>
              <w:jc w:val="right"/>
              <w:rPr>
                <w:rFonts w:ascii="Calibri" w:hAnsi="Calibri"/>
                <w:color w:val="000000"/>
              </w:rPr>
            </w:pPr>
            <w:r>
              <w:rPr>
                <w:rFonts w:ascii="Calibri" w:hAnsi="Calibri"/>
                <w:color w:val="000000"/>
              </w:rPr>
              <w:t>45.6</w:t>
            </w:r>
          </w:p>
        </w:tc>
        <w:tc>
          <w:tcPr>
            <w:tcW w:w="1107" w:type="dxa"/>
            <w:vAlign w:val="bottom"/>
          </w:tcPr>
          <w:p w14:paraId="0B395A7E" w14:textId="77777777" w:rsidR="00DA4B04" w:rsidRDefault="00DA4B04">
            <w:pPr>
              <w:jc w:val="right"/>
              <w:rPr>
                <w:rFonts w:ascii="Calibri" w:hAnsi="Calibri"/>
                <w:color w:val="000000"/>
              </w:rPr>
            </w:pPr>
            <w:r>
              <w:rPr>
                <w:rFonts w:ascii="Calibri" w:hAnsi="Calibri"/>
                <w:color w:val="000000"/>
              </w:rPr>
              <w:t>50.4</w:t>
            </w:r>
          </w:p>
        </w:tc>
      </w:tr>
    </w:tbl>
    <w:p w14:paraId="7277DBCF" w14:textId="77777777" w:rsidR="00455858" w:rsidRDefault="00455858" w:rsidP="00D1064B">
      <w:r>
        <w:t xml:space="preserve">From the table one can tell that in 1967, the bottom 20 percent of the population received 4.0 percent of the income and that this percentage fell to 3.4 percent by the year 2005.  </w:t>
      </w:r>
      <w:r w:rsidR="00B32391">
        <w:t>Likewise, the middle 20 percent also saw a drop in their share of the income from 17.4 percent to 14.6 over the same time span.</w:t>
      </w:r>
    </w:p>
    <w:p w14:paraId="7B3882CA" w14:textId="77777777" w:rsidR="00DA4B04" w:rsidRDefault="00455858" w:rsidP="00D1064B">
      <w:r>
        <w:t xml:space="preserve">The next step is </w:t>
      </w:r>
      <w:r w:rsidR="000D33CD">
        <w:t xml:space="preserve">to </w:t>
      </w:r>
      <w:r>
        <w:t xml:space="preserve">construct the cumulative </w:t>
      </w:r>
      <w:r w:rsidR="000D33CD">
        <w:t>income by partially summing down the column.  The corresponding data looks like</w:t>
      </w:r>
    </w:p>
    <w:tbl>
      <w:tblPr>
        <w:tblStyle w:val="TableGrid"/>
        <w:tblW w:w="0" w:type="auto"/>
        <w:jc w:val="center"/>
        <w:tblLook w:val="04A0" w:firstRow="1" w:lastRow="0" w:firstColumn="1" w:lastColumn="0" w:noHBand="0" w:noVBand="1"/>
      </w:tblPr>
      <w:tblGrid>
        <w:gridCol w:w="1226"/>
        <w:gridCol w:w="1107"/>
        <w:gridCol w:w="1107"/>
        <w:gridCol w:w="1107"/>
      </w:tblGrid>
      <w:tr w:rsidR="000D33CD" w14:paraId="1012D9D6" w14:textId="77777777" w:rsidTr="000D33CD">
        <w:trPr>
          <w:jc w:val="center"/>
        </w:trPr>
        <w:tc>
          <w:tcPr>
            <w:tcW w:w="1226" w:type="dxa"/>
          </w:tcPr>
          <w:p w14:paraId="41FE837B" w14:textId="77777777" w:rsidR="000D33CD" w:rsidRDefault="000D33CD" w:rsidP="007F2D44"/>
        </w:tc>
        <w:tc>
          <w:tcPr>
            <w:tcW w:w="3321" w:type="dxa"/>
            <w:gridSpan w:val="3"/>
          </w:tcPr>
          <w:p w14:paraId="5C06E883" w14:textId="77777777" w:rsidR="000D33CD" w:rsidRDefault="000D33CD" w:rsidP="000D33CD">
            <w:pPr>
              <w:jc w:val="center"/>
            </w:pPr>
            <w:r>
              <w:t xml:space="preserve">Cumulative Percentage </w:t>
            </w:r>
            <w:r w:rsidR="00921401">
              <w:t xml:space="preserve">of </w:t>
            </w:r>
            <w:r>
              <w:t xml:space="preserve">Income </w:t>
            </w:r>
          </w:p>
        </w:tc>
      </w:tr>
      <w:tr w:rsidR="000D33CD" w14:paraId="5873CEDD" w14:textId="77777777" w:rsidTr="000D33CD">
        <w:trPr>
          <w:jc w:val="center"/>
        </w:trPr>
        <w:tc>
          <w:tcPr>
            <w:tcW w:w="1226" w:type="dxa"/>
          </w:tcPr>
          <w:p w14:paraId="3E3B9DF7" w14:textId="77777777" w:rsidR="000D33CD" w:rsidRDefault="000D33CD" w:rsidP="007F2D44">
            <w:r>
              <w:t>Population Percentage</w:t>
            </w:r>
          </w:p>
        </w:tc>
        <w:tc>
          <w:tcPr>
            <w:tcW w:w="1107" w:type="dxa"/>
          </w:tcPr>
          <w:p w14:paraId="1027E18D" w14:textId="77777777" w:rsidR="000D33CD" w:rsidRDefault="000D33CD" w:rsidP="007F2D44">
            <w:r>
              <w:t>1967</w:t>
            </w:r>
          </w:p>
        </w:tc>
        <w:tc>
          <w:tcPr>
            <w:tcW w:w="1107" w:type="dxa"/>
          </w:tcPr>
          <w:p w14:paraId="6504A960" w14:textId="77777777" w:rsidR="000D33CD" w:rsidRDefault="000D33CD" w:rsidP="007F2D44">
            <w:r>
              <w:t>1985</w:t>
            </w:r>
          </w:p>
        </w:tc>
        <w:tc>
          <w:tcPr>
            <w:tcW w:w="1107" w:type="dxa"/>
          </w:tcPr>
          <w:p w14:paraId="7EE2A8D4" w14:textId="77777777" w:rsidR="000D33CD" w:rsidRDefault="000D33CD" w:rsidP="007F2D44">
            <w:r>
              <w:t>2005</w:t>
            </w:r>
          </w:p>
        </w:tc>
      </w:tr>
      <w:tr w:rsidR="000D33CD" w14:paraId="3EC38908" w14:textId="77777777" w:rsidTr="000D33CD">
        <w:trPr>
          <w:jc w:val="center"/>
        </w:trPr>
        <w:tc>
          <w:tcPr>
            <w:tcW w:w="1226" w:type="dxa"/>
          </w:tcPr>
          <w:p w14:paraId="6DD3EC3E" w14:textId="77777777" w:rsidR="000D33CD" w:rsidRDefault="000D33CD" w:rsidP="007F2D44">
            <w:r>
              <w:t>0</w:t>
            </w:r>
          </w:p>
        </w:tc>
        <w:tc>
          <w:tcPr>
            <w:tcW w:w="1107" w:type="dxa"/>
            <w:vAlign w:val="bottom"/>
          </w:tcPr>
          <w:p w14:paraId="761AFF4E" w14:textId="77777777" w:rsidR="000D33CD" w:rsidRDefault="000D33CD" w:rsidP="007F2D44">
            <w:pPr>
              <w:jc w:val="right"/>
              <w:rPr>
                <w:rFonts w:ascii="Calibri" w:hAnsi="Calibri"/>
                <w:color w:val="000000"/>
              </w:rPr>
            </w:pPr>
            <w:r>
              <w:rPr>
                <w:rFonts w:ascii="Calibri" w:hAnsi="Calibri"/>
                <w:color w:val="000000"/>
              </w:rPr>
              <w:t>0</w:t>
            </w:r>
          </w:p>
        </w:tc>
        <w:tc>
          <w:tcPr>
            <w:tcW w:w="1107" w:type="dxa"/>
            <w:vAlign w:val="bottom"/>
          </w:tcPr>
          <w:p w14:paraId="04C14C0D" w14:textId="77777777" w:rsidR="000D33CD" w:rsidRDefault="000D33CD" w:rsidP="007F2D44">
            <w:pPr>
              <w:jc w:val="right"/>
              <w:rPr>
                <w:rFonts w:ascii="Calibri" w:hAnsi="Calibri"/>
                <w:color w:val="000000"/>
              </w:rPr>
            </w:pPr>
            <w:r>
              <w:rPr>
                <w:rFonts w:ascii="Calibri" w:hAnsi="Calibri"/>
                <w:color w:val="000000"/>
              </w:rPr>
              <w:t>0</w:t>
            </w:r>
          </w:p>
        </w:tc>
        <w:tc>
          <w:tcPr>
            <w:tcW w:w="1107" w:type="dxa"/>
            <w:vAlign w:val="bottom"/>
          </w:tcPr>
          <w:p w14:paraId="068F33D1" w14:textId="77777777" w:rsidR="000D33CD" w:rsidRDefault="000D33CD" w:rsidP="007F2D44">
            <w:pPr>
              <w:jc w:val="right"/>
              <w:rPr>
                <w:rFonts w:ascii="Calibri" w:hAnsi="Calibri"/>
                <w:color w:val="000000"/>
              </w:rPr>
            </w:pPr>
            <w:r>
              <w:rPr>
                <w:rFonts w:ascii="Calibri" w:hAnsi="Calibri"/>
                <w:color w:val="000000"/>
              </w:rPr>
              <w:t>0</w:t>
            </w:r>
          </w:p>
        </w:tc>
      </w:tr>
      <w:tr w:rsidR="000D33CD" w14:paraId="6E88D191" w14:textId="77777777" w:rsidTr="000D33CD">
        <w:trPr>
          <w:jc w:val="center"/>
        </w:trPr>
        <w:tc>
          <w:tcPr>
            <w:tcW w:w="1226" w:type="dxa"/>
          </w:tcPr>
          <w:p w14:paraId="6E6CC2E8" w14:textId="77777777" w:rsidR="000D33CD" w:rsidRDefault="000D33CD" w:rsidP="007F2D44">
            <w:r>
              <w:t>20</w:t>
            </w:r>
          </w:p>
        </w:tc>
        <w:tc>
          <w:tcPr>
            <w:tcW w:w="1107" w:type="dxa"/>
            <w:vAlign w:val="bottom"/>
          </w:tcPr>
          <w:p w14:paraId="5D7E37AA" w14:textId="77777777" w:rsidR="000D33CD" w:rsidRDefault="000D33CD">
            <w:pPr>
              <w:jc w:val="right"/>
              <w:rPr>
                <w:rFonts w:ascii="Calibri" w:hAnsi="Calibri"/>
                <w:color w:val="000000"/>
              </w:rPr>
            </w:pPr>
            <w:r>
              <w:rPr>
                <w:rFonts w:ascii="Calibri" w:hAnsi="Calibri"/>
                <w:color w:val="000000"/>
              </w:rPr>
              <w:t>4.0</w:t>
            </w:r>
          </w:p>
        </w:tc>
        <w:tc>
          <w:tcPr>
            <w:tcW w:w="1107" w:type="dxa"/>
            <w:vAlign w:val="bottom"/>
          </w:tcPr>
          <w:p w14:paraId="4E2A587D" w14:textId="77777777" w:rsidR="000D33CD" w:rsidRDefault="000D33CD">
            <w:pPr>
              <w:jc w:val="right"/>
              <w:rPr>
                <w:rFonts w:ascii="Calibri" w:hAnsi="Calibri"/>
                <w:color w:val="000000"/>
              </w:rPr>
            </w:pPr>
            <w:r>
              <w:rPr>
                <w:rFonts w:ascii="Calibri" w:hAnsi="Calibri"/>
                <w:color w:val="000000"/>
              </w:rPr>
              <w:t>3.9</w:t>
            </w:r>
          </w:p>
        </w:tc>
        <w:tc>
          <w:tcPr>
            <w:tcW w:w="1107" w:type="dxa"/>
            <w:vAlign w:val="bottom"/>
          </w:tcPr>
          <w:p w14:paraId="4991842F" w14:textId="77777777" w:rsidR="000D33CD" w:rsidRDefault="000D33CD">
            <w:pPr>
              <w:jc w:val="right"/>
              <w:rPr>
                <w:rFonts w:ascii="Calibri" w:hAnsi="Calibri"/>
                <w:color w:val="000000"/>
              </w:rPr>
            </w:pPr>
            <w:r>
              <w:rPr>
                <w:rFonts w:ascii="Calibri" w:hAnsi="Calibri"/>
                <w:color w:val="000000"/>
              </w:rPr>
              <w:t>3.4</w:t>
            </w:r>
          </w:p>
        </w:tc>
      </w:tr>
      <w:tr w:rsidR="000D33CD" w14:paraId="533F00CE" w14:textId="77777777" w:rsidTr="000D33CD">
        <w:trPr>
          <w:jc w:val="center"/>
        </w:trPr>
        <w:tc>
          <w:tcPr>
            <w:tcW w:w="1226" w:type="dxa"/>
          </w:tcPr>
          <w:p w14:paraId="11DCA75B" w14:textId="77777777" w:rsidR="000D33CD" w:rsidRDefault="000D33CD" w:rsidP="007F2D44">
            <w:r>
              <w:t>40</w:t>
            </w:r>
          </w:p>
        </w:tc>
        <w:tc>
          <w:tcPr>
            <w:tcW w:w="1107" w:type="dxa"/>
            <w:vAlign w:val="bottom"/>
          </w:tcPr>
          <w:p w14:paraId="590D1550" w14:textId="77777777" w:rsidR="000D33CD" w:rsidRDefault="000D33CD">
            <w:pPr>
              <w:jc w:val="right"/>
              <w:rPr>
                <w:rFonts w:ascii="Calibri" w:hAnsi="Calibri"/>
                <w:color w:val="000000"/>
              </w:rPr>
            </w:pPr>
            <w:r>
              <w:rPr>
                <w:rFonts w:ascii="Calibri" w:hAnsi="Calibri"/>
                <w:color w:val="000000"/>
              </w:rPr>
              <w:t>14.8</w:t>
            </w:r>
          </w:p>
        </w:tc>
        <w:tc>
          <w:tcPr>
            <w:tcW w:w="1107" w:type="dxa"/>
            <w:vAlign w:val="bottom"/>
          </w:tcPr>
          <w:p w14:paraId="65F7944C" w14:textId="77777777" w:rsidR="000D33CD" w:rsidRDefault="000D33CD">
            <w:pPr>
              <w:jc w:val="right"/>
              <w:rPr>
                <w:rFonts w:ascii="Calibri" w:hAnsi="Calibri"/>
                <w:color w:val="000000"/>
              </w:rPr>
            </w:pPr>
            <w:r>
              <w:rPr>
                <w:rFonts w:ascii="Calibri" w:hAnsi="Calibri"/>
                <w:color w:val="000000"/>
              </w:rPr>
              <w:t>13.7</w:t>
            </w:r>
          </w:p>
        </w:tc>
        <w:tc>
          <w:tcPr>
            <w:tcW w:w="1107" w:type="dxa"/>
            <w:vAlign w:val="bottom"/>
          </w:tcPr>
          <w:p w14:paraId="66011993" w14:textId="77777777" w:rsidR="000D33CD" w:rsidRDefault="000D33CD">
            <w:pPr>
              <w:jc w:val="right"/>
              <w:rPr>
                <w:rFonts w:ascii="Calibri" w:hAnsi="Calibri"/>
                <w:color w:val="000000"/>
              </w:rPr>
            </w:pPr>
            <w:r>
              <w:rPr>
                <w:rFonts w:ascii="Calibri" w:hAnsi="Calibri"/>
                <w:color w:val="000000"/>
              </w:rPr>
              <w:t>12.0</w:t>
            </w:r>
          </w:p>
        </w:tc>
      </w:tr>
      <w:tr w:rsidR="000D33CD" w14:paraId="27F24E37" w14:textId="77777777" w:rsidTr="000D33CD">
        <w:trPr>
          <w:jc w:val="center"/>
        </w:trPr>
        <w:tc>
          <w:tcPr>
            <w:tcW w:w="1226" w:type="dxa"/>
          </w:tcPr>
          <w:p w14:paraId="330EC7F6" w14:textId="77777777" w:rsidR="000D33CD" w:rsidRDefault="000D33CD" w:rsidP="007F2D44">
            <w:r>
              <w:t>60</w:t>
            </w:r>
          </w:p>
        </w:tc>
        <w:tc>
          <w:tcPr>
            <w:tcW w:w="1107" w:type="dxa"/>
            <w:vAlign w:val="bottom"/>
          </w:tcPr>
          <w:p w14:paraId="5919FC23" w14:textId="77777777" w:rsidR="000D33CD" w:rsidRDefault="000D33CD">
            <w:pPr>
              <w:jc w:val="right"/>
              <w:rPr>
                <w:rFonts w:ascii="Calibri" w:hAnsi="Calibri"/>
                <w:color w:val="000000"/>
              </w:rPr>
            </w:pPr>
            <w:r>
              <w:rPr>
                <w:rFonts w:ascii="Calibri" w:hAnsi="Calibri"/>
                <w:color w:val="000000"/>
              </w:rPr>
              <w:t>32.2</w:t>
            </w:r>
          </w:p>
        </w:tc>
        <w:tc>
          <w:tcPr>
            <w:tcW w:w="1107" w:type="dxa"/>
            <w:vAlign w:val="bottom"/>
          </w:tcPr>
          <w:p w14:paraId="54EAA766" w14:textId="77777777" w:rsidR="000D33CD" w:rsidRDefault="000D33CD">
            <w:pPr>
              <w:jc w:val="right"/>
              <w:rPr>
                <w:rFonts w:ascii="Calibri" w:hAnsi="Calibri"/>
                <w:color w:val="000000"/>
              </w:rPr>
            </w:pPr>
            <w:r>
              <w:rPr>
                <w:rFonts w:ascii="Calibri" w:hAnsi="Calibri"/>
                <w:color w:val="000000"/>
              </w:rPr>
              <w:t>30</w:t>
            </w:r>
          </w:p>
        </w:tc>
        <w:tc>
          <w:tcPr>
            <w:tcW w:w="1107" w:type="dxa"/>
            <w:vAlign w:val="bottom"/>
          </w:tcPr>
          <w:p w14:paraId="4924E858" w14:textId="77777777" w:rsidR="000D33CD" w:rsidRDefault="000D33CD">
            <w:pPr>
              <w:jc w:val="right"/>
              <w:rPr>
                <w:rFonts w:ascii="Calibri" w:hAnsi="Calibri"/>
                <w:color w:val="000000"/>
              </w:rPr>
            </w:pPr>
            <w:r>
              <w:rPr>
                <w:rFonts w:ascii="Calibri" w:hAnsi="Calibri"/>
                <w:color w:val="000000"/>
              </w:rPr>
              <w:t>26.6</w:t>
            </w:r>
          </w:p>
        </w:tc>
      </w:tr>
      <w:tr w:rsidR="000D33CD" w14:paraId="634B35BF" w14:textId="77777777" w:rsidTr="000D33CD">
        <w:trPr>
          <w:jc w:val="center"/>
        </w:trPr>
        <w:tc>
          <w:tcPr>
            <w:tcW w:w="1226" w:type="dxa"/>
          </w:tcPr>
          <w:p w14:paraId="15AF4A15" w14:textId="77777777" w:rsidR="000D33CD" w:rsidRDefault="000D33CD" w:rsidP="007F2D44">
            <w:r>
              <w:t>80</w:t>
            </w:r>
          </w:p>
        </w:tc>
        <w:tc>
          <w:tcPr>
            <w:tcW w:w="1107" w:type="dxa"/>
            <w:vAlign w:val="bottom"/>
          </w:tcPr>
          <w:p w14:paraId="00B9C0A7" w14:textId="77777777" w:rsidR="000D33CD" w:rsidRDefault="000D33CD">
            <w:pPr>
              <w:jc w:val="right"/>
              <w:rPr>
                <w:rFonts w:ascii="Calibri" w:hAnsi="Calibri"/>
                <w:color w:val="000000"/>
              </w:rPr>
            </w:pPr>
            <w:r>
              <w:rPr>
                <w:rFonts w:ascii="Calibri" w:hAnsi="Calibri"/>
                <w:color w:val="000000"/>
              </w:rPr>
              <w:t>56.4</w:t>
            </w:r>
          </w:p>
        </w:tc>
        <w:tc>
          <w:tcPr>
            <w:tcW w:w="1107" w:type="dxa"/>
            <w:vAlign w:val="bottom"/>
          </w:tcPr>
          <w:p w14:paraId="712082E8" w14:textId="77777777" w:rsidR="000D33CD" w:rsidRDefault="000D33CD">
            <w:pPr>
              <w:jc w:val="right"/>
              <w:rPr>
                <w:rFonts w:ascii="Calibri" w:hAnsi="Calibri"/>
                <w:color w:val="000000"/>
              </w:rPr>
            </w:pPr>
            <w:r>
              <w:rPr>
                <w:rFonts w:ascii="Calibri" w:hAnsi="Calibri"/>
                <w:color w:val="000000"/>
              </w:rPr>
              <w:t>54.4</w:t>
            </w:r>
          </w:p>
        </w:tc>
        <w:tc>
          <w:tcPr>
            <w:tcW w:w="1107" w:type="dxa"/>
            <w:vAlign w:val="bottom"/>
          </w:tcPr>
          <w:p w14:paraId="074AFFFD" w14:textId="77777777" w:rsidR="000D33CD" w:rsidRDefault="000D33CD">
            <w:pPr>
              <w:jc w:val="right"/>
              <w:rPr>
                <w:rFonts w:ascii="Calibri" w:hAnsi="Calibri"/>
                <w:color w:val="000000"/>
              </w:rPr>
            </w:pPr>
            <w:r>
              <w:rPr>
                <w:rFonts w:ascii="Calibri" w:hAnsi="Calibri"/>
                <w:color w:val="000000"/>
              </w:rPr>
              <w:t>49.6</w:t>
            </w:r>
          </w:p>
        </w:tc>
      </w:tr>
      <w:tr w:rsidR="000D33CD" w14:paraId="4AE02804" w14:textId="77777777" w:rsidTr="000D33CD">
        <w:trPr>
          <w:jc w:val="center"/>
        </w:trPr>
        <w:tc>
          <w:tcPr>
            <w:tcW w:w="1226" w:type="dxa"/>
          </w:tcPr>
          <w:p w14:paraId="5759BA00" w14:textId="77777777" w:rsidR="000D33CD" w:rsidRDefault="000D33CD" w:rsidP="007F2D44">
            <w:r>
              <w:t>100</w:t>
            </w:r>
          </w:p>
        </w:tc>
        <w:tc>
          <w:tcPr>
            <w:tcW w:w="1107" w:type="dxa"/>
            <w:vAlign w:val="bottom"/>
          </w:tcPr>
          <w:p w14:paraId="28417522" w14:textId="77777777" w:rsidR="000D33CD" w:rsidRDefault="000D33CD" w:rsidP="007F2D44">
            <w:pPr>
              <w:jc w:val="right"/>
              <w:rPr>
                <w:rFonts w:ascii="Calibri" w:hAnsi="Calibri"/>
                <w:color w:val="000000"/>
              </w:rPr>
            </w:pPr>
            <w:r>
              <w:rPr>
                <w:rFonts w:ascii="Calibri" w:hAnsi="Calibri"/>
                <w:color w:val="000000"/>
              </w:rPr>
              <w:t>100</w:t>
            </w:r>
          </w:p>
        </w:tc>
        <w:tc>
          <w:tcPr>
            <w:tcW w:w="1107" w:type="dxa"/>
            <w:vAlign w:val="bottom"/>
          </w:tcPr>
          <w:p w14:paraId="723758BD" w14:textId="77777777" w:rsidR="000D33CD" w:rsidRDefault="000D33CD" w:rsidP="007F2D44">
            <w:pPr>
              <w:jc w:val="right"/>
              <w:rPr>
                <w:rFonts w:ascii="Calibri" w:hAnsi="Calibri"/>
                <w:color w:val="000000"/>
              </w:rPr>
            </w:pPr>
            <w:r>
              <w:rPr>
                <w:rFonts w:ascii="Calibri" w:hAnsi="Calibri"/>
                <w:color w:val="000000"/>
              </w:rPr>
              <w:t>100</w:t>
            </w:r>
          </w:p>
        </w:tc>
        <w:tc>
          <w:tcPr>
            <w:tcW w:w="1107" w:type="dxa"/>
            <w:vAlign w:val="bottom"/>
          </w:tcPr>
          <w:p w14:paraId="50543E20" w14:textId="77777777" w:rsidR="000D33CD" w:rsidRDefault="000D33CD" w:rsidP="007F2D44">
            <w:pPr>
              <w:jc w:val="right"/>
              <w:rPr>
                <w:rFonts w:ascii="Calibri" w:hAnsi="Calibri"/>
                <w:color w:val="000000"/>
              </w:rPr>
            </w:pPr>
            <w:r>
              <w:rPr>
                <w:rFonts w:ascii="Calibri" w:hAnsi="Calibri"/>
                <w:color w:val="000000"/>
              </w:rPr>
              <w:t>100</w:t>
            </w:r>
          </w:p>
        </w:tc>
      </w:tr>
    </w:tbl>
    <w:p w14:paraId="146C0BDB" w14:textId="77777777" w:rsidR="0052097B" w:rsidRDefault="0052097B" w:rsidP="00D1064B"/>
    <w:p w14:paraId="100F8157" w14:textId="77777777" w:rsidR="000D33CD" w:rsidRDefault="000D33CD" w:rsidP="00D1064B">
      <w:proofErr w:type="gramStart"/>
      <w:r>
        <w:t>with</w:t>
      </w:r>
      <w:proofErr w:type="gramEnd"/>
      <w:r>
        <w:t xml:space="preserve"> the obvious boundary conditions that </w:t>
      </w:r>
      <w:r w:rsidR="0052097B">
        <w:t xml:space="preserve">zero </w:t>
      </w:r>
      <w:r>
        <w:t xml:space="preserve">percent of the population receives </w:t>
      </w:r>
      <w:r w:rsidR="0052097B">
        <w:t xml:space="preserve">zero </w:t>
      </w:r>
      <w:r>
        <w:t>percent of the income and 100 percent of the population receives 100 percent of the income.  The addition of the 0</w:t>
      </w:r>
      <w:r w:rsidR="0052097B">
        <w:t>-</w:t>
      </w:r>
      <w:r>
        <w:t xml:space="preserve">line will be needed in </w:t>
      </w:r>
      <w:r w:rsidR="0052097B">
        <w:t>the next step</w:t>
      </w:r>
      <w:r>
        <w:t>.</w:t>
      </w:r>
      <w:r w:rsidR="0052097B">
        <w:t xml:space="preserve">  Note carefully how the value at say 40 percent of the population is the sum of the 1</w:t>
      </w:r>
      <w:r w:rsidR="0052097B" w:rsidRPr="0052097B">
        <w:rPr>
          <w:vertAlign w:val="superscript"/>
        </w:rPr>
        <w:t>st</w:t>
      </w:r>
      <w:r w:rsidR="0052097B">
        <w:t xml:space="preserve"> and 2</w:t>
      </w:r>
      <w:r w:rsidR="0052097B" w:rsidRPr="0052097B">
        <w:rPr>
          <w:vertAlign w:val="superscript"/>
        </w:rPr>
        <w:t>nd</w:t>
      </w:r>
      <w:r w:rsidR="0052097B">
        <w:t xml:space="preserve"> quintiles while the value at 60 is the sum of the first 3 quintiles.  </w:t>
      </w:r>
      <w:r w:rsidR="00921401">
        <w:t xml:space="preserve"> The graph of these values then gives the Lorenz Curve as shown below</w:t>
      </w:r>
    </w:p>
    <w:p w14:paraId="3DE1A399" w14:textId="77777777" w:rsidR="00921401" w:rsidRDefault="00921401" w:rsidP="00D1064B">
      <w:r>
        <w:rPr>
          <w:noProof/>
        </w:rPr>
        <w:lastRenderedPageBreak/>
        <w:drawing>
          <wp:inline distT="0" distB="0" distL="0" distR="0" wp14:anchorId="12FA01FC" wp14:editId="1C2AE6AF">
            <wp:extent cx="5486400" cy="4751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enz_curve.jpg"/>
                    <pic:cNvPicPr/>
                  </pic:nvPicPr>
                  <pic:blipFill>
                    <a:blip r:embed="rId9">
                      <a:extLst>
                        <a:ext uri="{28A0092B-C50C-407E-A947-70E740481C1C}">
                          <a14:useLocalDpi xmlns:a14="http://schemas.microsoft.com/office/drawing/2010/main" val="0"/>
                        </a:ext>
                      </a:extLst>
                    </a:blip>
                    <a:stretch>
                      <a:fillRect/>
                    </a:stretch>
                  </pic:blipFill>
                  <pic:spPr>
                    <a:xfrm>
                      <a:off x="0" y="0"/>
                      <a:ext cx="5486400" cy="4751070"/>
                    </a:xfrm>
                    <a:prstGeom prst="rect">
                      <a:avLst/>
                    </a:prstGeom>
                  </pic:spPr>
                </pic:pic>
              </a:graphicData>
            </a:graphic>
          </wp:inline>
        </w:drawing>
      </w:r>
    </w:p>
    <w:p w14:paraId="144DF8E1" w14:textId="77777777" w:rsidR="00DE50BD" w:rsidRDefault="00DE50BD" w:rsidP="00D1064B">
      <w:r>
        <w:t>Calculation of the Gini Coefficient is a bit more involved and requires two new Lorenz curves and a modest amount of computation.  The first curve</w:t>
      </w:r>
      <w:r w:rsidR="00F929E8">
        <w:t>, called hereafter the ‘perfect curve’ r</w:t>
      </w:r>
      <w:r>
        <w:t>epresents a perfectly balanced society with equal income distribution over all segments of its population.  The resulting income distribution and cumulative percentage of income are</w:t>
      </w:r>
    </w:p>
    <w:tbl>
      <w:tblPr>
        <w:tblStyle w:val="TableGrid"/>
        <w:tblW w:w="0" w:type="auto"/>
        <w:jc w:val="center"/>
        <w:tblLook w:val="04A0" w:firstRow="1" w:lastRow="0" w:firstColumn="1" w:lastColumn="0" w:noHBand="0" w:noVBand="1"/>
      </w:tblPr>
      <w:tblGrid>
        <w:gridCol w:w="1107"/>
        <w:gridCol w:w="1276"/>
        <w:gridCol w:w="379"/>
        <w:gridCol w:w="1835"/>
        <w:gridCol w:w="1230"/>
      </w:tblGrid>
      <w:tr w:rsidR="00DE50BD" w14:paraId="3047F53C" w14:textId="77777777" w:rsidTr="00DE50BD">
        <w:trPr>
          <w:jc w:val="center"/>
        </w:trPr>
        <w:tc>
          <w:tcPr>
            <w:tcW w:w="1107" w:type="dxa"/>
            <w:vMerge w:val="restart"/>
          </w:tcPr>
          <w:p w14:paraId="0E51907B" w14:textId="77777777" w:rsidR="00DE50BD" w:rsidRDefault="00DE50BD" w:rsidP="007F2D44"/>
        </w:tc>
        <w:tc>
          <w:tcPr>
            <w:tcW w:w="1276" w:type="dxa"/>
            <w:vMerge w:val="restart"/>
          </w:tcPr>
          <w:p w14:paraId="6A206FC2" w14:textId="77777777" w:rsidR="00DE50BD" w:rsidRDefault="00DE50BD" w:rsidP="007F2D44">
            <w:pPr>
              <w:jc w:val="center"/>
            </w:pPr>
            <w:r>
              <w:t>Percentage Income Distribution</w:t>
            </w:r>
          </w:p>
        </w:tc>
        <w:tc>
          <w:tcPr>
            <w:tcW w:w="379" w:type="dxa"/>
            <w:shd w:val="solid" w:color="auto" w:fill="auto"/>
          </w:tcPr>
          <w:p w14:paraId="796C64B4" w14:textId="77777777" w:rsidR="00DE50BD" w:rsidRDefault="00DE50BD" w:rsidP="007F2D44">
            <w:pPr>
              <w:jc w:val="center"/>
            </w:pPr>
          </w:p>
        </w:tc>
        <w:tc>
          <w:tcPr>
            <w:tcW w:w="1835" w:type="dxa"/>
            <w:vMerge w:val="restart"/>
          </w:tcPr>
          <w:p w14:paraId="4E603790" w14:textId="77777777" w:rsidR="00DE50BD" w:rsidRDefault="00DE50BD" w:rsidP="007F2D44">
            <w:r>
              <w:t>Population Percentage</w:t>
            </w:r>
          </w:p>
        </w:tc>
        <w:tc>
          <w:tcPr>
            <w:tcW w:w="1230" w:type="dxa"/>
            <w:vMerge w:val="restart"/>
          </w:tcPr>
          <w:p w14:paraId="5C4077FC" w14:textId="77777777" w:rsidR="00DE50BD" w:rsidRDefault="00DE50BD" w:rsidP="00DE50BD">
            <w:pPr>
              <w:jc w:val="center"/>
            </w:pPr>
            <w:r>
              <w:t xml:space="preserve">Cumulative Percentage of Income </w:t>
            </w:r>
          </w:p>
        </w:tc>
      </w:tr>
      <w:tr w:rsidR="00DE50BD" w14:paraId="2FBE0DD4" w14:textId="77777777" w:rsidTr="00DE50BD">
        <w:trPr>
          <w:jc w:val="center"/>
        </w:trPr>
        <w:tc>
          <w:tcPr>
            <w:tcW w:w="1107" w:type="dxa"/>
            <w:vMerge/>
          </w:tcPr>
          <w:p w14:paraId="5397CDD8" w14:textId="77777777" w:rsidR="00DE50BD" w:rsidRDefault="00DE50BD" w:rsidP="007F2D44"/>
        </w:tc>
        <w:tc>
          <w:tcPr>
            <w:tcW w:w="1276" w:type="dxa"/>
            <w:vMerge/>
          </w:tcPr>
          <w:p w14:paraId="01C0C984" w14:textId="77777777" w:rsidR="00DE50BD" w:rsidRDefault="00DE50BD" w:rsidP="007F2D44"/>
        </w:tc>
        <w:tc>
          <w:tcPr>
            <w:tcW w:w="379" w:type="dxa"/>
            <w:shd w:val="solid" w:color="auto" w:fill="auto"/>
          </w:tcPr>
          <w:p w14:paraId="5BFF6B99" w14:textId="77777777" w:rsidR="00DE50BD" w:rsidRDefault="00DE50BD" w:rsidP="007F2D44"/>
        </w:tc>
        <w:tc>
          <w:tcPr>
            <w:tcW w:w="1835" w:type="dxa"/>
            <w:vMerge/>
          </w:tcPr>
          <w:p w14:paraId="70CFB196" w14:textId="77777777" w:rsidR="00DE50BD" w:rsidRDefault="00DE50BD" w:rsidP="007F2D44"/>
        </w:tc>
        <w:tc>
          <w:tcPr>
            <w:tcW w:w="1230" w:type="dxa"/>
            <w:vMerge/>
          </w:tcPr>
          <w:p w14:paraId="6ADCB2A3" w14:textId="77777777" w:rsidR="00DE50BD" w:rsidRDefault="00DE50BD" w:rsidP="007F2D44"/>
        </w:tc>
      </w:tr>
      <w:tr w:rsidR="00DE50BD" w14:paraId="750770E7" w14:textId="77777777" w:rsidTr="00DE50BD">
        <w:trPr>
          <w:jc w:val="center"/>
        </w:trPr>
        <w:tc>
          <w:tcPr>
            <w:tcW w:w="1107" w:type="dxa"/>
          </w:tcPr>
          <w:p w14:paraId="2925462C" w14:textId="77777777" w:rsidR="00DE50BD" w:rsidRDefault="00DE50BD" w:rsidP="007F2D44">
            <w:r>
              <w:t>Quintile</w:t>
            </w:r>
          </w:p>
        </w:tc>
        <w:tc>
          <w:tcPr>
            <w:tcW w:w="1276" w:type="dxa"/>
          </w:tcPr>
          <w:p w14:paraId="1601DCC1" w14:textId="77777777" w:rsidR="00DE50BD" w:rsidRDefault="00DE50BD" w:rsidP="007F2D44">
            <w:r>
              <w:t xml:space="preserve">Perfect </w:t>
            </w:r>
          </w:p>
        </w:tc>
        <w:tc>
          <w:tcPr>
            <w:tcW w:w="379" w:type="dxa"/>
            <w:shd w:val="solid" w:color="auto" w:fill="auto"/>
          </w:tcPr>
          <w:p w14:paraId="607E98A0" w14:textId="77777777" w:rsidR="00DE50BD" w:rsidRDefault="00DE50BD" w:rsidP="007F2D44">
            <w:pPr>
              <w:jc w:val="right"/>
              <w:rPr>
                <w:rFonts w:ascii="Calibri" w:hAnsi="Calibri"/>
                <w:color w:val="000000"/>
              </w:rPr>
            </w:pPr>
          </w:p>
        </w:tc>
        <w:tc>
          <w:tcPr>
            <w:tcW w:w="1835" w:type="dxa"/>
          </w:tcPr>
          <w:p w14:paraId="73B21B06" w14:textId="77777777" w:rsidR="00DE50BD" w:rsidRDefault="00DE50BD" w:rsidP="007F2D44">
            <w:r>
              <w:t>0</w:t>
            </w:r>
          </w:p>
        </w:tc>
        <w:tc>
          <w:tcPr>
            <w:tcW w:w="1230" w:type="dxa"/>
            <w:vAlign w:val="bottom"/>
          </w:tcPr>
          <w:p w14:paraId="12C39A69" w14:textId="77777777" w:rsidR="00DE50BD" w:rsidRDefault="00DE50BD" w:rsidP="007F2D44">
            <w:pPr>
              <w:jc w:val="right"/>
              <w:rPr>
                <w:rFonts w:ascii="Calibri" w:hAnsi="Calibri"/>
                <w:color w:val="000000"/>
              </w:rPr>
            </w:pPr>
            <w:r>
              <w:rPr>
                <w:rFonts w:ascii="Calibri" w:hAnsi="Calibri"/>
                <w:color w:val="000000"/>
              </w:rPr>
              <w:t>0</w:t>
            </w:r>
          </w:p>
        </w:tc>
      </w:tr>
      <w:tr w:rsidR="00DE50BD" w14:paraId="02D242AD" w14:textId="77777777" w:rsidTr="00DE50BD">
        <w:trPr>
          <w:jc w:val="center"/>
        </w:trPr>
        <w:tc>
          <w:tcPr>
            <w:tcW w:w="1107" w:type="dxa"/>
          </w:tcPr>
          <w:p w14:paraId="3983480D" w14:textId="77777777" w:rsidR="00DE50BD" w:rsidRDefault="00DE50BD" w:rsidP="007F2D44">
            <w:r>
              <w:t>1</w:t>
            </w:r>
            <w:r w:rsidRPr="00DA4B04">
              <w:rPr>
                <w:vertAlign w:val="superscript"/>
              </w:rPr>
              <w:t>st</w:t>
            </w:r>
          </w:p>
        </w:tc>
        <w:tc>
          <w:tcPr>
            <w:tcW w:w="1276" w:type="dxa"/>
            <w:vAlign w:val="bottom"/>
          </w:tcPr>
          <w:p w14:paraId="7C6FF78E" w14:textId="77777777" w:rsidR="00DE50BD" w:rsidRDefault="00DE50BD" w:rsidP="007F2D44">
            <w:pPr>
              <w:jc w:val="right"/>
              <w:rPr>
                <w:rFonts w:ascii="Calibri" w:hAnsi="Calibri"/>
                <w:color w:val="000000"/>
              </w:rPr>
            </w:pPr>
            <w:r>
              <w:rPr>
                <w:rFonts w:ascii="Calibri" w:hAnsi="Calibri"/>
                <w:color w:val="000000"/>
              </w:rPr>
              <w:t>20</w:t>
            </w:r>
          </w:p>
        </w:tc>
        <w:tc>
          <w:tcPr>
            <w:tcW w:w="379" w:type="dxa"/>
            <w:shd w:val="solid" w:color="auto" w:fill="auto"/>
          </w:tcPr>
          <w:p w14:paraId="6E7904CF" w14:textId="77777777" w:rsidR="00DE50BD" w:rsidRDefault="00DE50BD" w:rsidP="007F2D44">
            <w:pPr>
              <w:jc w:val="right"/>
              <w:rPr>
                <w:rFonts w:ascii="Calibri" w:hAnsi="Calibri"/>
                <w:color w:val="000000"/>
              </w:rPr>
            </w:pPr>
          </w:p>
        </w:tc>
        <w:tc>
          <w:tcPr>
            <w:tcW w:w="1835" w:type="dxa"/>
          </w:tcPr>
          <w:p w14:paraId="33BA6DB7" w14:textId="77777777" w:rsidR="00DE50BD" w:rsidRDefault="00DE50BD" w:rsidP="007F2D44">
            <w:r>
              <w:t>20</w:t>
            </w:r>
          </w:p>
        </w:tc>
        <w:tc>
          <w:tcPr>
            <w:tcW w:w="1230" w:type="dxa"/>
            <w:vAlign w:val="bottom"/>
          </w:tcPr>
          <w:p w14:paraId="120FCA58" w14:textId="77777777" w:rsidR="00DE50BD" w:rsidRDefault="00DE50BD" w:rsidP="007F2D44">
            <w:pPr>
              <w:jc w:val="right"/>
              <w:rPr>
                <w:rFonts w:ascii="Calibri" w:hAnsi="Calibri"/>
                <w:color w:val="000000"/>
              </w:rPr>
            </w:pPr>
            <w:r>
              <w:rPr>
                <w:rFonts w:ascii="Calibri" w:hAnsi="Calibri"/>
                <w:color w:val="000000"/>
              </w:rPr>
              <w:t>20</w:t>
            </w:r>
          </w:p>
        </w:tc>
      </w:tr>
      <w:tr w:rsidR="00DE50BD" w14:paraId="6186D8E9" w14:textId="77777777" w:rsidTr="00DE50BD">
        <w:trPr>
          <w:jc w:val="center"/>
        </w:trPr>
        <w:tc>
          <w:tcPr>
            <w:tcW w:w="1107" w:type="dxa"/>
          </w:tcPr>
          <w:p w14:paraId="57549CDF" w14:textId="77777777" w:rsidR="00DE50BD" w:rsidRDefault="00DE50BD" w:rsidP="007F2D44">
            <w:r>
              <w:t>2</w:t>
            </w:r>
            <w:r w:rsidRPr="00DA4B04">
              <w:rPr>
                <w:vertAlign w:val="superscript"/>
              </w:rPr>
              <w:t>nd</w:t>
            </w:r>
          </w:p>
        </w:tc>
        <w:tc>
          <w:tcPr>
            <w:tcW w:w="1276" w:type="dxa"/>
            <w:vAlign w:val="bottom"/>
          </w:tcPr>
          <w:p w14:paraId="6412EF6D" w14:textId="77777777" w:rsidR="00DE50BD" w:rsidRDefault="00DE50BD" w:rsidP="007F2D44">
            <w:pPr>
              <w:jc w:val="right"/>
              <w:rPr>
                <w:rFonts w:ascii="Calibri" w:hAnsi="Calibri"/>
                <w:color w:val="000000"/>
              </w:rPr>
            </w:pPr>
            <w:r>
              <w:rPr>
                <w:rFonts w:ascii="Calibri" w:hAnsi="Calibri"/>
                <w:color w:val="000000"/>
              </w:rPr>
              <w:t>20</w:t>
            </w:r>
          </w:p>
        </w:tc>
        <w:tc>
          <w:tcPr>
            <w:tcW w:w="379" w:type="dxa"/>
            <w:shd w:val="solid" w:color="auto" w:fill="auto"/>
          </w:tcPr>
          <w:p w14:paraId="45782654" w14:textId="77777777" w:rsidR="00DE50BD" w:rsidRDefault="00DE50BD" w:rsidP="007F2D44">
            <w:pPr>
              <w:jc w:val="right"/>
              <w:rPr>
                <w:rFonts w:ascii="Calibri" w:hAnsi="Calibri"/>
                <w:color w:val="000000"/>
              </w:rPr>
            </w:pPr>
          </w:p>
        </w:tc>
        <w:tc>
          <w:tcPr>
            <w:tcW w:w="1835" w:type="dxa"/>
          </w:tcPr>
          <w:p w14:paraId="2D63366A" w14:textId="77777777" w:rsidR="00DE50BD" w:rsidRDefault="00DE50BD" w:rsidP="007F2D44">
            <w:r>
              <w:t>40</w:t>
            </w:r>
          </w:p>
        </w:tc>
        <w:tc>
          <w:tcPr>
            <w:tcW w:w="1230" w:type="dxa"/>
            <w:vAlign w:val="bottom"/>
          </w:tcPr>
          <w:p w14:paraId="522B4870" w14:textId="77777777" w:rsidR="00DE50BD" w:rsidRDefault="00DE50BD" w:rsidP="007F2D44">
            <w:pPr>
              <w:jc w:val="right"/>
              <w:rPr>
                <w:rFonts w:ascii="Calibri" w:hAnsi="Calibri"/>
                <w:color w:val="000000"/>
              </w:rPr>
            </w:pPr>
            <w:r>
              <w:rPr>
                <w:rFonts w:ascii="Calibri" w:hAnsi="Calibri"/>
                <w:color w:val="000000"/>
              </w:rPr>
              <w:t>40</w:t>
            </w:r>
          </w:p>
        </w:tc>
      </w:tr>
      <w:tr w:rsidR="00DE50BD" w14:paraId="523D9D16" w14:textId="77777777" w:rsidTr="00DE50BD">
        <w:trPr>
          <w:jc w:val="center"/>
        </w:trPr>
        <w:tc>
          <w:tcPr>
            <w:tcW w:w="1107" w:type="dxa"/>
          </w:tcPr>
          <w:p w14:paraId="0D3C55E3" w14:textId="77777777" w:rsidR="00DE50BD" w:rsidRDefault="00DE50BD" w:rsidP="007F2D44">
            <w:r>
              <w:t>3</w:t>
            </w:r>
            <w:r w:rsidRPr="00DA4B04">
              <w:rPr>
                <w:vertAlign w:val="superscript"/>
              </w:rPr>
              <w:t>rd</w:t>
            </w:r>
          </w:p>
        </w:tc>
        <w:tc>
          <w:tcPr>
            <w:tcW w:w="1276" w:type="dxa"/>
            <w:vAlign w:val="bottom"/>
          </w:tcPr>
          <w:p w14:paraId="5EB7A6E0" w14:textId="77777777" w:rsidR="00DE50BD" w:rsidRDefault="00DE50BD" w:rsidP="007F2D44">
            <w:pPr>
              <w:jc w:val="right"/>
              <w:rPr>
                <w:rFonts w:ascii="Calibri" w:hAnsi="Calibri"/>
                <w:color w:val="000000"/>
              </w:rPr>
            </w:pPr>
            <w:r>
              <w:rPr>
                <w:rFonts w:ascii="Calibri" w:hAnsi="Calibri"/>
                <w:color w:val="000000"/>
              </w:rPr>
              <w:t>20</w:t>
            </w:r>
          </w:p>
        </w:tc>
        <w:tc>
          <w:tcPr>
            <w:tcW w:w="379" w:type="dxa"/>
            <w:shd w:val="solid" w:color="auto" w:fill="auto"/>
          </w:tcPr>
          <w:p w14:paraId="4689CF2B" w14:textId="77777777" w:rsidR="00DE50BD" w:rsidRDefault="00DE50BD" w:rsidP="007F2D44">
            <w:pPr>
              <w:jc w:val="right"/>
              <w:rPr>
                <w:rFonts w:ascii="Calibri" w:hAnsi="Calibri"/>
                <w:color w:val="000000"/>
              </w:rPr>
            </w:pPr>
          </w:p>
        </w:tc>
        <w:tc>
          <w:tcPr>
            <w:tcW w:w="1835" w:type="dxa"/>
          </w:tcPr>
          <w:p w14:paraId="2FDD7EC3" w14:textId="77777777" w:rsidR="00DE50BD" w:rsidRDefault="00DE50BD" w:rsidP="007F2D44">
            <w:r>
              <w:t>60</w:t>
            </w:r>
          </w:p>
        </w:tc>
        <w:tc>
          <w:tcPr>
            <w:tcW w:w="1230" w:type="dxa"/>
            <w:vAlign w:val="bottom"/>
          </w:tcPr>
          <w:p w14:paraId="5F54C605" w14:textId="77777777" w:rsidR="00DE50BD" w:rsidRDefault="00DE50BD" w:rsidP="007F2D44">
            <w:pPr>
              <w:jc w:val="right"/>
              <w:rPr>
                <w:rFonts w:ascii="Calibri" w:hAnsi="Calibri"/>
                <w:color w:val="000000"/>
              </w:rPr>
            </w:pPr>
            <w:r>
              <w:rPr>
                <w:rFonts w:ascii="Calibri" w:hAnsi="Calibri"/>
                <w:color w:val="000000"/>
              </w:rPr>
              <w:t>60</w:t>
            </w:r>
          </w:p>
        </w:tc>
      </w:tr>
      <w:tr w:rsidR="00DE50BD" w14:paraId="0D8473D4" w14:textId="77777777" w:rsidTr="00DE50BD">
        <w:trPr>
          <w:jc w:val="center"/>
        </w:trPr>
        <w:tc>
          <w:tcPr>
            <w:tcW w:w="1107" w:type="dxa"/>
          </w:tcPr>
          <w:p w14:paraId="20C024B8" w14:textId="77777777" w:rsidR="00DE50BD" w:rsidRDefault="00DE50BD" w:rsidP="007F2D44">
            <w:r>
              <w:t>4</w:t>
            </w:r>
            <w:r w:rsidRPr="00DA4B04">
              <w:rPr>
                <w:vertAlign w:val="superscript"/>
              </w:rPr>
              <w:t>th</w:t>
            </w:r>
          </w:p>
        </w:tc>
        <w:tc>
          <w:tcPr>
            <w:tcW w:w="1276" w:type="dxa"/>
            <w:vAlign w:val="bottom"/>
          </w:tcPr>
          <w:p w14:paraId="064D6483" w14:textId="77777777" w:rsidR="00DE50BD" w:rsidRDefault="00DE50BD" w:rsidP="007F2D44">
            <w:pPr>
              <w:jc w:val="right"/>
              <w:rPr>
                <w:rFonts w:ascii="Calibri" w:hAnsi="Calibri"/>
                <w:color w:val="000000"/>
              </w:rPr>
            </w:pPr>
            <w:r>
              <w:rPr>
                <w:rFonts w:ascii="Calibri" w:hAnsi="Calibri"/>
                <w:color w:val="000000"/>
              </w:rPr>
              <w:t>20</w:t>
            </w:r>
          </w:p>
        </w:tc>
        <w:tc>
          <w:tcPr>
            <w:tcW w:w="379" w:type="dxa"/>
            <w:shd w:val="solid" w:color="auto" w:fill="auto"/>
          </w:tcPr>
          <w:p w14:paraId="6215BBDF" w14:textId="77777777" w:rsidR="00DE50BD" w:rsidRDefault="00DE50BD" w:rsidP="007F2D44">
            <w:pPr>
              <w:jc w:val="right"/>
              <w:rPr>
                <w:rFonts w:ascii="Calibri" w:hAnsi="Calibri"/>
                <w:color w:val="000000"/>
              </w:rPr>
            </w:pPr>
          </w:p>
        </w:tc>
        <w:tc>
          <w:tcPr>
            <w:tcW w:w="1835" w:type="dxa"/>
          </w:tcPr>
          <w:p w14:paraId="76D54262" w14:textId="77777777" w:rsidR="00DE50BD" w:rsidRDefault="00DE50BD" w:rsidP="007F2D44">
            <w:r>
              <w:t>80</w:t>
            </w:r>
          </w:p>
        </w:tc>
        <w:tc>
          <w:tcPr>
            <w:tcW w:w="1230" w:type="dxa"/>
            <w:vAlign w:val="bottom"/>
          </w:tcPr>
          <w:p w14:paraId="6E60AAC7" w14:textId="77777777" w:rsidR="00DE50BD" w:rsidRDefault="00DE50BD" w:rsidP="007F2D44">
            <w:pPr>
              <w:jc w:val="right"/>
              <w:rPr>
                <w:rFonts w:ascii="Calibri" w:hAnsi="Calibri"/>
                <w:color w:val="000000"/>
              </w:rPr>
            </w:pPr>
            <w:r>
              <w:rPr>
                <w:rFonts w:ascii="Calibri" w:hAnsi="Calibri"/>
                <w:color w:val="000000"/>
              </w:rPr>
              <w:t>80</w:t>
            </w:r>
          </w:p>
        </w:tc>
      </w:tr>
      <w:tr w:rsidR="00DE50BD" w14:paraId="3976B849" w14:textId="77777777" w:rsidTr="00DE50BD">
        <w:trPr>
          <w:jc w:val="center"/>
        </w:trPr>
        <w:tc>
          <w:tcPr>
            <w:tcW w:w="1107" w:type="dxa"/>
          </w:tcPr>
          <w:p w14:paraId="2D5C5645" w14:textId="77777777" w:rsidR="00DE50BD" w:rsidRDefault="00DE50BD" w:rsidP="007F2D44">
            <w:r>
              <w:t>5</w:t>
            </w:r>
            <w:r w:rsidRPr="00DA4B04">
              <w:rPr>
                <w:vertAlign w:val="superscript"/>
              </w:rPr>
              <w:t>th</w:t>
            </w:r>
          </w:p>
        </w:tc>
        <w:tc>
          <w:tcPr>
            <w:tcW w:w="1276" w:type="dxa"/>
            <w:vAlign w:val="bottom"/>
          </w:tcPr>
          <w:p w14:paraId="4A666F21" w14:textId="77777777" w:rsidR="00DE50BD" w:rsidRDefault="00DE50BD" w:rsidP="007F2D44">
            <w:pPr>
              <w:jc w:val="right"/>
              <w:rPr>
                <w:rFonts w:ascii="Calibri" w:hAnsi="Calibri"/>
                <w:color w:val="000000"/>
              </w:rPr>
            </w:pPr>
            <w:r>
              <w:rPr>
                <w:rFonts w:ascii="Calibri" w:hAnsi="Calibri"/>
                <w:color w:val="000000"/>
              </w:rPr>
              <w:t>20</w:t>
            </w:r>
          </w:p>
        </w:tc>
        <w:tc>
          <w:tcPr>
            <w:tcW w:w="379" w:type="dxa"/>
            <w:shd w:val="solid" w:color="auto" w:fill="auto"/>
          </w:tcPr>
          <w:p w14:paraId="56C22B90" w14:textId="77777777" w:rsidR="00DE50BD" w:rsidRDefault="00DE50BD" w:rsidP="007F2D44">
            <w:pPr>
              <w:jc w:val="right"/>
              <w:rPr>
                <w:rFonts w:ascii="Calibri" w:hAnsi="Calibri"/>
                <w:color w:val="000000"/>
              </w:rPr>
            </w:pPr>
          </w:p>
        </w:tc>
        <w:tc>
          <w:tcPr>
            <w:tcW w:w="1835" w:type="dxa"/>
          </w:tcPr>
          <w:p w14:paraId="720E26B3" w14:textId="77777777" w:rsidR="00DE50BD" w:rsidRDefault="00DE50BD" w:rsidP="007F2D44">
            <w:r>
              <w:t>100</w:t>
            </w:r>
          </w:p>
        </w:tc>
        <w:tc>
          <w:tcPr>
            <w:tcW w:w="1230" w:type="dxa"/>
            <w:vAlign w:val="bottom"/>
          </w:tcPr>
          <w:p w14:paraId="23EF96BE" w14:textId="77777777" w:rsidR="00DE50BD" w:rsidRDefault="00DE50BD" w:rsidP="007F2D44">
            <w:pPr>
              <w:jc w:val="right"/>
              <w:rPr>
                <w:rFonts w:ascii="Calibri" w:hAnsi="Calibri"/>
                <w:color w:val="000000"/>
              </w:rPr>
            </w:pPr>
            <w:r>
              <w:rPr>
                <w:rFonts w:ascii="Calibri" w:hAnsi="Calibri"/>
                <w:color w:val="000000"/>
              </w:rPr>
              <w:t>100</w:t>
            </w:r>
          </w:p>
        </w:tc>
      </w:tr>
    </w:tbl>
    <w:p w14:paraId="1A88AA61" w14:textId="77777777" w:rsidR="004504DC" w:rsidRDefault="004504DC" w:rsidP="00D1064B"/>
    <w:p w14:paraId="07FD0742" w14:textId="77777777" w:rsidR="0013796A" w:rsidRDefault="00F929E8" w:rsidP="00D1064B">
      <w:r>
        <w:lastRenderedPageBreak/>
        <w:t>The second curve, called the ‘imperfect curve’</w:t>
      </w:r>
      <w:r w:rsidR="004504DC">
        <w:t xml:space="preserve"> </w:t>
      </w:r>
      <w:r w:rsidR="0013796A">
        <w:t xml:space="preserve">represents the income distribution of a </w:t>
      </w:r>
      <w:r w:rsidR="004504DC">
        <w:t xml:space="preserve">completely unbalanced </w:t>
      </w:r>
      <w:r w:rsidR="009704F4">
        <w:t xml:space="preserve">society with only one member receiving all of the income and every other member </w:t>
      </w:r>
      <w:r w:rsidR="0013796A">
        <w:t xml:space="preserve">receiving nothing.   </w:t>
      </w:r>
    </w:p>
    <w:p w14:paraId="110C356A" w14:textId="77777777" w:rsidR="00F929E8" w:rsidRDefault="0013796A" w:rsidP="00D1064B">
      <w:r>
        <w:t xml:space="preserve">With all the ingredients now in place, the Gini Coefficient is then defined as the ratio of the area between the </w:t>
      </w:r>
      <w:r w:rsidR="00F929E8">
        <w:t xml:space="preserve">perfect curve and a given </w:t>
      </w:r>
      <w:r w:rsidR="000E3F95">
        <w:t xml:space="preserve">Lorenz curve </w:t>
      </w:r>
      <w:r w:rsidR="00F929E8">
        <w:t>to the area between the perfect and imperfect curves.  As a formula, if A is the area between the perfect curve and a given Lorenz curve and B the area between a given Lorenz curve and the imperfect curve, then the Gini Coefficient, denoted as G, is given by G = A/(A+B).</w:t>
      </w:r>
      <w:r w:rsidR="002139D7">
        <w:t xml:space="preserve">  This is shown in the figure below with the Lorenz curve given for a linear distribution of income</w:t>
      </w:r>
      <w:r w:rsidR="003D1BB2">
        <w:t xml:space="preserve"> (first quintile has 6.7 </w:t>
      </w:r>
      <w:r w:rsidR="00F70423">
        <w:t>percent;</w:t>
      </w:r>
      <w:r w:rsidR="003D1BB2">
        <w:t xml:space="preserve"> the second quintile has 13.3 percent, etc.)</w:t>
      </w:r>
      <w:r w:rsidR="002139D7">
        <w:t>.</w:t>
      </w:r>
    </w:p>
    <w:p w14:paraId="1C69CD18" w14:textId="77777777" w:rsidR="002139D7" w:rsidRDefault="002139D7" w:rsidP="00D1064B">
      <w:r>
        <w:rPr>
          <w:noProof/>
        </w:rPr>
        <w:drawing>
          <wp:inline distT="0" distB="0" distL="0" distR="0" wp14:anchorId="34E07BA6" wp14:editId="22F4725D">
            <wp:extent cx="5486400" cy="49129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renz_curve_annotated.jpg"/>
                    <pic:cNvPicPr/>
                  </pic:nvPicPr>
                  <pic:blipFill>
                    <a:blip r:embed="rId10">
                      <a:extLst>
                        <a:ext uri="{28A0092B-C50C-407E-A947-70E740481C1C}">
                          <a14:useLocalDpi xmlns:a14="http://schemas.microsoft.com/office/drawing/2010/main" val="0"/>
                        </a:ext>
                      </a:extLst>
                    </a:blip>
                    <a:stretch>
                      <a:fillRect/>
                    </a:stretch>
                  </pic:blipFill>
                  <pic:spPr>
                    <a:xfrm>
                      <a:off x="0" y="0"/>
                      <a:ext cx="5486400" cy="4912995"/>
                    </a:xfrm>
                    <a:prstGeom prst="rect">
                      <a:avLst/>
                    </a:prstGeom>
                  </pic:spPr>
                </pic:pic>
              </a:graphicData>
            </a:graphic>
          </wp:inline>
        </w:drawing>
      </w:r>
    </w:p>
    <w:p w14:paraId="21EDE44B" w14:textId="77777777" w:rsidR="00DE50BD" w:rsidRDefault="00DE50BD" w:rsidP="00D1064B"/>
    <w:p w14:paraId="3E5BCB2B" w14:textId="77777777" w:rsidR="00451095" w:rsidRDefault="007F2D44" w:rsidP="00D1064B">
      <w:r>
        <w:t xml:space="preserve">The area between the perfect curve and the given Lorenz curve is most easily calculated by </w:t>
      </w:r>
      <w:r w:rsidR="00986E67">
        <w:t xml:space="preserve">calculating </w:t>
      </w:r>
      <w:r>
        <w:t>the area beneath the given Lorenz curve (B) and subtracting it from the total area beneath the perfect curve (A+B), since the latter has the</w:t>
      </w:r>
      <w:r w:rsidR="00986E67">
        <w:t xml:space="preserve"> known</w:t>
      </w:r>
      <w:r>
        <w:t xml:space="preserve"> value of 0.5. </w:t>
      </w:r>
      <w:r w:rsidR="00065BCB">
        <w:t xml:space="preserve"> </w:t>
      </w:r>
      <w:r>
        <w:t xml:space="preserve">The easiest way to </w:t>
      </w:r>
      <w:r>
        <w:lastRenderedPageBreak/>
        <w:t>see this</w:t>
      </w:r>
      <w:r w:rsidR="00F70423">
        <w:t xml:space="preserve"> fact</w:t>
      </w:r>
      <w:r>
        <w:t xml:space="preserve"> is to convert the y-axis (cumulative percentage of income) to fractions by dividing by 100.  The perfect curve is now a 45-degree diagonal in the unit square with the area of the triangle enclosed by it and the imperfect curve being one half.</w:t>
      </w:r>
      <w:r w:rsidR="00065BCB">
        <w:t xml:space="preserve"> The resulting expression for the Gini Coefficient is then A/(A+B) = (A+B-B)/(A+B) = 1-2B.</w:t>
      </w:r>
    </w:p>
    <w:p w14:paraId="628DF3C1" w14:textId="77777777" w:rsidR="004D29C4" w:rsidRDefault="007F2D44" w:rsidP="00D1064B">
      <w:r>
        <w:t>So the computation of the Gini Coefficient comes down to computing the area B by integration.  For a mathematically specified distribution, the functional form of the Lorenz curve is known and the area can be carried out using calculus.  For example, the linear distribution curve results in the functional form of the Lorenz curve of x</w:t>
      </w:r>
      <w:r w:rsidRPr="007F2D44">
        <w:rPr>
          <w:vertAlign w:val="superscript"/>
        </w:rPr>
        <w:t>2</w:t>
      </w:r>
      <w:r w:rsidR="00986E67">
        <w:t>,</w:t>
      </w:r>
      <w:r>
        <w:t xml:space="preserve"> where x is the population fraction</w:t>
      </w:r>
      <w:r w:rsidR="004D29C4">
        <w:t>.  Note that t</w:t>
      </w:r>
      <w:r w:rsidR="00065BCB">
        <w:t xml:space="preserve">he linear curve when partially summed must be normalized thus </w:t>
      </w:r>
      <w:r w:rsidR="004D29C4">
        <w:t xml:space="preserve">its </w:t>
      </w:r>
      <w:r w:rsidR="00065BCB">
        <w:t>Lorenz curve is x</w:t>
      </w:r>
      <w:r w:rsidR="00065BCB" w:rsidRPr="00E64BE2">
        <w:rPr>
          <w:vertAlign w:val="superscript"/>
        </w:rPr>
        <w:t>2</w:t>
      </w:r>
      <w:r w:rsidR="00065BCB">
        <w:t xml:space="preserve"> not x</w:t>
      </w:r>
      <w:r w:rsidR="00065BCB" w:rsidRPr="00E64BE2">
        <w:rPr>
          <w:vertAlign w:val="superscript"/>
        </w:rPr>
        <w:t>2</w:t>
      </w:r>
      <w:r w:rsidR="00065BCB">
        <w:t>/2</w:t>
      </w:r>
      <w:r>
        <w:t>.  The integral of x</w:t>
      </w:r>
      <w:r w:rsidRPr="00E64BE2">
        <w:rPr>
          <w:vertAlign w:val="superscript"/>
        </w:rPr>
        <w:t>2</w:t>
      </w:r>
      <w:r>
        <w:t xml:space="preserve"> </w:t>
      </w:r>
      <w:r w:rsidR="00986E67">
        <w:t>is x</w:t>
      </w:r>
      <w:r w:rsidR="00986E67" w:rsidRPr="00E64BE2">
        <w:rPr>
          <w:vertAlign w:val="superscript"/>
        </w:rPr>
        <w:t>3</w:t>
      </w:r>
      <w:r w:rsidR="00986E67">
        <w:t>/</w:t>
      </w:r>
      <w:r w:rsidR="00065BCB">
        <w:t>3</w:t>
      </w:r>
      <w:r w:rsidR="00986E67">
        <w:t xml:space="preserve">, which when evaluated on </w:t>
      </w:r>
      <w:r>
        <w:t>the interval [0,1]</w:t>
      </w:r>
      <w:r w:rsidR="00986E67">
        <w:t xml:space="preserve">, gives B = </w:t>
      </w:r>
      <w:r>
        <w:t>1/</w:t>
      </w:r>
      <w:r w:rsidR="00E64BE2">
        <w:t>3 and G = 1-2B = 1-2/3 = 1/3.</w:t>
      </w:r>
    </w:p>
    <w:p w14:paraId="7ACD29B9" w14:textId="77777777" w:rsidR="004D29C4" w:rsidRDefault="004D29C4" w:rsidP="00D1064B">
      <w:r>
        <w:t>For empirical distributions, such as listed above for the years 1967, 1985, and 2005, a numerical approximation to the area under the Lorenz curve can be estimated in a variety of ways.  To illustrate, I chose the particularly simple approach of using the trapezoidal rule.  The resulting Gini coefficients are then</w:t>
      </w:r>
    </w:p>
    <w:tbl>
      <w:tblPr>
        <w:tblStyle w:val="TableGrid"/>
        <w:tblW w:w="0" w:type="auto"/>
        <w:tblLook w:val="04A0" w:firstRow="1" w:lastRow="0" w:firstColumn="1" w:lastColumn="0" w:noHBand="0" w:noVBand="1"/>
      </w:tblPr>
      <w:tblGrid>
        <w:gridCol w:w="4428"/>
        <w:gridCol w:w="4428"/>
      </w:tblGrid>
      <w:tr w:rsidR="004D29C4" w14:paraId="7DE729F7" w14:textId="77777777" w:rsidTr="004D29C4">
        <w:tc>
          <w:tcPr>
            <w:tcW w:w="4428" w:type="dxa"/>
          </w:tcPr>
          <w:p w14:paraId="2BC68CA7" w14:textId="77777777" w:rsidR="004D29C4" w:rsidRDefault="004D29C4" w:rsidP="00D1064B">
            <w:r>
              <w:t>Year</w:t>
            </w:r>
          </w:p>
        </w:tc>
        <w:tc>
          <w:tcPr>
            <w:tcW w:w="4428" w:type="dxa"/>
          </w:tcPr>
          <w:p w14:paraId="7B0EB29D" w14:textId="77777777" w:rsidR="004D29C4" w:rsidRDefault="004D29C4" w:rsidP="00D1064B">
            <w:r>
              <w:t>Gini Coefficient</w:t>
            </w:r>
          </w:p>
        </w:tc>
      </w:tr>
      <w:tr w:rsidR="004D29C4" w14:paraId="781529C6" w14:textId="77777777" w:rsidTr="004D29C4">
        <w:tc>
          <w:tcPr>
            <w:tcW w:w="4428" w:type="dxa"/>
          </w:tcPr>
          <w:p w14:paraId="2841EF87" w14:textId="77777777" w:rsidR="004D29C4" w:rsidRDefault="004D29C4" w:rsidP="00D1064B">
            <w:r>
              <w:t>1967</w:t>
            </w:r>
          </w:p>
        </w:tc>
        <w:tc>
          <w:tcPr>
            <w:tcW w:w="4428" w:type="dxa"/>
          </w:tcPr>
          <w:p w14:paraId="048EDF32" w14:textId="77777777" w:rsidR="004D29C4" w:rsidRDefault="004D29C4" w:rsidP="004D29C4">
            <w:r>
              <w:t>0.370</w:t>
            </w:r>
          </w:p>
        </w:tc>
      </w:tr>
      <w:tr w:rsidR="004D29C4" w14:paraId="74ACD545" w14:textId="77777777" w:rsidTr="004D29C4">
        <w:tc>
          <w:tcPr>
            <w:tcW w:w="4428" w:type="dxa"/>
          </w:tcPr>
          <w:p w14:paraId="5EF07C00" w14:textId="77777777" w:rsidR="004D29C4" w:rsidRDefault="004D29C4" w:rsidP="00D1064B">
            <w:r>
              <w:t>1985</w:t>
            </w:r>
          </w:p>
        </w:tc>
        <w:tc>
          <w:tcPr>
            <w:tcW w:w="4428" w:type="dxa"/>
          </w:tcPr>
          <w:p w14:paraId="4AD1FB91" w14:textId="77777777" w:rsidR="004D29C4" w:rsidRDefault="004D29C4" w:rsidP="00D1064B">
            <w:r>
              <w:t>0.392</w:t>
            </w:r>
          </w:p>
        </w:tc>
      </w:tr>
      <w:tr w:rsidR="004D29C4" w14:paraId="79C14D1A" w14:textId="77777777" w:rsidTr="004D29C4">
        <w:tc>
          <w:tcPr>
            <w:tcW w:w="4428" w:type="dxa"/>
          </w:tcPr>
          <w:p w14:paraId="257EB1FA" w14:textId="77777777" w:rsidR="004D29C4" w:rsidRDefault="004D29C4" w:rsidP="00D1064B">
            <w:r>
              <w:t>2005</w:t>
            </w:r>
          </w:p>
        </w:tc>
        <w:tc>
          <w:tcPr>
            <w:tcW w:w="4428" w:type="dxa"/>
          </w:tcPr>
          <w:p w14:paraId="087E8BAE" w14:textId="77777777" w:rsidR="004D29C4" w:rsidRDefault="004D29C4" w:rsidP="00D1064B">
            <w:r>
              <w:t>0.434</w:t>
            </w:r>
          </w:p>
        </w:tc>
      </w:tr>
    </w:tbl>
    <w:p w14:paraId="07B7D5CF" w14:textId="77777777" w:rsidR="004D29C4" w:rsidRDefault="004D29C4" w:rsidP="00D1064B"/>
    <w:p w14:paraId="32922750" w14:textId="77777777" w:rsidR="004D29C4" w:rsidRDefault="004D29C4" w:rsidP="00D1064B">
      <w:r>
        <w:t xml:space="preserve">Clearly there is a growing trend towards greater income inequality but what to make of it? </w:t>
      </w:r>
    </w:p>
    <w:p w14:paraId="2BFAFBFC" w14:textId="77777777" w:rsidR="004D29C4" w:rsidRDefault="004D29C4" w:rsidP="00D1064B">
      <w:r>
        <w:t xml:space="preserve">First it is important to remember that the Gini Coefficient doesn’t measure poverty.  Everyone in a population can be rich and the Gini Coefficient could indicate an income distribution far from the perfect curve (think of football players and owners).  Likewise, everyone in a population can be poor and the Gini Coefficient could indicate an income distribution near the perfect curve (think of a native tribe in the Amazon like the </w:t>
      </w:r>
      <w:proofErr w:type="spellStart"/>
      <w:r>
        <w:t>Yanomama</w:t>
      </w:r>
      <w:proofErr w:type="spellEnd"/>
      <w:proofErr w:type="gramStart"/>
      <w:r>
        <w:t xml:space="preserve">) </w:t>
      </w:r>
      <w:r w:rsidR="008A75A6">
        <w:t>.</w:t>
      </w:r>
      <w:proofErr w:type="gramEnd"/>
    </w:p>
    <w:p w14:paraId="56A1B6CE" w14:textId="77777777" w:rsidR="00940F76" w:rsidRDefault="008A75A6" w:rsidP="00D1064B">
      <w:r>
        <w:t>Se</w:t>
      </w:r>
      <w:r w:rsidR="00940F76">
        <w:t>cond, to quote Taylor</w:t>
      </w:r>
      <w:r w:rsidR="00BE37E6">
        <w:t>:</w:t>
      </w:r>
      <w:r w:rsidR="00940F76">
        <w:t xml:space="preserve"> </w:t>
      </w:r>
    </w:p>
    <w:p w14:paraId="14EEE8E3" w14:textId="77777777" w:rsidR="00940F76" w:rsidRDefault="00940F76" w:rsidP="00D1064B">
      <w:r>
        <w:t>No society should expect or desire complete equality of income at a given point in time, for a number of reasons.  First, most workers receive relatively low earnings in their first few jobs, higher earnings as they reach middle age, and then lower earnings after retirement.  Second, people’s preferences and desires differ.  Some are willing to work long hours to have large income…Others will work fewer hours…  Third, people can be lucky or unlucky.</w:t>
      </w:r>
    </w:p>
    <w:p w14:paraId="2C68FD18" w14:textId="77777777" w:rsidR="008A75A6" w:rsidRDefault="00940F76" w:rsidP="00D1064B">
      <w:r>
        <w:t>Some decades ago, an economist named Henry Simmons tried to f</w:t>
      </w:r>
      <w:r w:rsidR="00BA3B91">
        <w:t>ind an objective, scientific way</w:t>
      </w:r>
      <w:r>
        <w:t xml:space="preserve"> to determine how much inequality was appropriate.  After a great deal of thought, he decided that the question had no answer. </w:t>
      </w:r>
    </w:p>
    <w:p w14:paraId="52C25723" w14:textId="77777777" w:rsidR="00B7012D" w:rsidRDefault="00940F76" w:rsidP="00D1064B">
      <w:r>
        <w:lastRenderedPageBreak/>
        <w:t>Okay, so it seems that income inequality is a fixture of life but is there any way to und</w:t>
      </w:r>
      <w:r w:rsidR="00BE37E6">
        <w:t xml:space="preserve">erstand the observed trends.  </w:t>
      </w:r>
      <w:r>
        <w:t xml:space="preserve">I will point out that trends </w:t>
      </w:r>
      <w:r w:rsidR="00BE37E6">
        <w:t xml:space="preserve">in income inequality </w:t>
      </w:r>
      <w:r>
        <w:t xml:space="preserve">are cited by Taylor to be predominantly due to two effects.  </w:t>
      </w:r>
    </w:p>
    <w:p w14:paraId="0495B641" w14:textId="77777777" w:rsidR="00B7012D" w:rsidRDefault="00940F76" w:rsidP="00D1064B">
      <w:r>
        <w:t>The fi</w:t>
      </w:r>
      <w:r w:rsidR="00672708">
        <w:t xml:space="preserve">rst is a demographic shift </w:t>
      </w:r>
      <w:r w:rsidR="00186D82">
        <w:t xml:space="preserve">amongst the </w:t>
      </w:r>
      <w:r w:rsidR="00672708">
        <w:t xml:space="preserve">higher income </w:t>
      </w:r>
      <w:r w:rsidR="00186D82">
        <w:t xml:space="preserve">earners in which </w:t>
      </w:r>
      <w:r w:rsidR="00672708">
        <w:t xml:space="preserve">they have </w:t>
      </w:r>
      <w:r w:rsidR="00186D82">
        <w:t xml:space="preserve">be preferentially marrying each other </w:t>
      </w:r>
      <w:r w:rsidR="00A2723B">
        <w:t>(</w:t>
      </w:r>
      <w:r w:rsidR="00B7012D">
        <w:t xml:space="preserve">e.g., </w:t>
      </w:r>
      <w:r w:rsidR="00A2723B">
        <w:t xml:space="preserve">a lawyer with a lawyer) </w:t>
      </w:r>
      <w:r w:rsidR="00186D82">
        <w:t xml:space="preserve">thereby concentrating more income in the top earners.  </w:t>
      </w:r>
      <w:r w:rsidR="00A2723B">
        <w:t>This is to be contrasted with an older model in which a high income earner (</w:t>
      </w:r>
      <w:r w:rsidR="00B7012D">
        <w:t xml:space="preserve">e.g., </w:t>
      </w:r>
      <w:r w:rsidR="00A2723B">
        <w:t>a doctor) tended to marry a low income earner (</w:t>
      </w:r>
      <w:r w:rsidR="00B7012D">
        <w:t xml:space="preserve">e.g., </w:t>
      </w:r>
      <w:r w:rsidR="00A2723B">
        <w:t>a school tea</w:t>
      </w:r>
      <w:r w:rsidR="00B7012D">
        <w:t xml:space="preserve">cher).  I would argue that this change reflects an underlying improvement in American society and the upward mobility of women.  </w:t>
      </w:r>
    </w:p>
    <w:p w14:paraId="33C7416E" w14:textId="35230F0D" w:rsidR="007665E5" w:rsidRDefault="00B7012D" w:rsidP="007665E5">
      <w:r>
        <w:t xml:space="preserve">The second effect is as discouraging </w:t>
      </w:r>
      <w:r w:rsidR="00570070">
        <w:t xml:space="preserve">and the first is encouraging.  There is an educational gap between the highly </w:t>
      </w:r>
      <w:r w:rsidR="005829B8">
        <w:t xml:space="preserve">skilled </w:t>
      </w:r>
      <w:r w:rsidR="00E95CBD">
        <w:t xml:space="preserve">worker </w:t>
      </w:r>
      <w:r w:rsidR="00570070">
        <w:t xml:space="preserve">and the </w:t>
      </w:r>
      <w:r w:rsidR="002C1D9F">
        <w:t xml:space="preserve">low or unskilled component </w:t>
      </w:r>
      <w:r w:rsidR="00570070">
        <w:t>of society</w:t>
      </w:r>
      <w:r w:rsidR="00E95CBD">
        <w:t xml:space="preserve"> and it </w:t>
      </w:r>
      <w:r w:rsidR="00570070">
        <w:t xml:space="preserve">seems to be widening not shrinking.  </w:t>
      </w:r>
      <w:r w:rsidR="005829B8">
        <w:t xml:space="preserve">Highly skilled workers are in high demand due to the technological advances over the past 30 years and </w:t>
      </w:r>
      <w:r w:rsidR="001B28E3">
        <w:t>as more of them enter the market place the pace of technological development and the need for more advanced training increases</w:t>
      </w:r>
      <w:r w:rsidR="008C6F9D">
        <w:t xml:space="preserve">.  This problem </w:t>
      </w:r>
      <w:r w:rsidR="00570070">
        <w:t xml:space="preserve">is further exacerbated by the fact that lower income families not only have fewer good educational opportunities but they also tend, more often than their rich counterparts, to be </w:t>
      </w:r>
      <w:hyperlink r:id="rId11" w:history="1">
        <w:r w:rsidR="00570070" w:rsidRPr="00850A20">
          <w:rPr>
            <w:rStyle w:val="Hyperlink"/>
          </w:rPr>
          <w:t>comprised of a single parent</w:t>
        </w:r>
        <w:r w:rsidR="00850A20" w:rsidRPr="00850A20">
          <w:rPr>
            <w:rStyle w:val="Hyperlink"/>
          </w:rPr>
          <w:t>, which creates a substantial educational disadvantage</w:t>
        </w:r>
      </w:hyperlink>
      <w:r w:rsidR="00850A20">
        <w:t>.</w:t>
      </w:r>
      <w:r w:rsidR="008C6F9D">
        <w:t xml:space="preserve"> </w:t>
      </w:r>
    </w:p>
    <w:sectPr w:rsidR="007665E5" w:rsidSect="0090680D">
      <w:pgSz w:w="12240" w:h="15840"/>
      <w:pgMar w:top="1440" w:right="216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1"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438390">
    <w:abstractNumId w:val="7"/>
  </w:num>
  <w:num w:numId="2" w16cid:durableId="1343318853">
    <w:abstractNumId w:val="6"/>
  </w:num>
  <w:num w:numId="3" w16cid:durableId="420102577">
    <w:abstractNumId w:val="0"/>
  </w:num>
  <w:num w:numId="4" w16cid:durableId="660160240">
    <w:abstractNumId w:val="15"/>
  </w:num>
  <w:num w:numId="5" w16cid:durableId="1649824999">
    <w:abstractNumId w:val="2"/>
  </w:num>
  <w:num w:numId="6" w16cid:durableId="2062512573">
    <w:abstractNumId w:val="1"/>
  </w:num>
  <w:num w:numId="7" w16cid:durableId="1439638796">
    <w:abstractNumId w:val="3"/>
  </w:num>
  <w:num w:numId="8" w16cid:durableId="1948073104">
    <w:abstractNumId w:val="4"/>
  </w:num>
  <w:num w:numId="9" w16cid:durableId="1998681639">
    <w:abstractNumId w:val="14"/>
  </w:num>
  <w:num w:numId="10" w16cid:durableId="638925882">
    <w:abstractNumId w:val="11"/>
  </w:num>
  <w:num w:numId="11" w16cid:durableId="1517190837">
    <w:abstractNumId w:val="10"/>
  </w:num>
  <w:num w:numId="12" w16cid:durableId="1824195549">
    <w:abstractNumId w:val="12"/>
  </w:num>
  <w:num w:numId="13" w16cid:durableId="839470694">
    <w:abstractNumId w:val="8"/>
  </w:num>
  <w:num w:numId="14" w16cid:durableId="379599757">
    <w:abstractNumId w:val="13"/>
  </w:num>
  <w:num w:numId="15" w16cid:durableId="2100520398">
    <w:abstractNumId w:val="9"/>
  </w:num>
  <w:num w:numId="16" w16cid:durableId="8646826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10F63"/>
    <w:rsid w:val="00011C78"/>
    <w:rsid w:val="00015ABC"/>
    <w:rsid w:val="00015D14"/>
    <w:rsid w:val="000254B5"/>
    <w:rsid w:val="00031163"/>
    <w:rsid w:val="000316EB"/>
    <w:rsid w:val="00032EAA"/>
    <w:rsid w:val="000330EE"/>
    <w:rsid w:val="00036161"/>
    <w:rsid w:val="00043491"/>
    <w:rsid w:val="00044C41"/>
    <w:rsid w:val="00046E50"/>
    <w:rsid w:val="00050368"/>
    <w:rsid w:val="00050B3B"/>
    <w:rsid w:val="00051507"/>
    <w:rsid w:val="00056296"/>
    <w:rsid w:val="0005724F"/>
    <w:rsid w:val="00064964"/>
    <w:rsid w:val="00065BCB"/>
    <w:rsid w:val="00065BEE"/>
    <w:rsid w:val="000676E7"/>
    <w:rsid w:val="000741BE"/>
    <w:rsid w:val="00076728"/>
    <w:rsid w:val="00081669"/>
    <w:rsid w:val="00081A9D"/>
    <w:rsid w:val="00082BE3"/>
    <w:rsid w:val="0008393D"/>
    <w:rsid w:val="000871B6"/>
    <w:rsid w:val="000900D9"/>
    <w:rsid w:val="00092768"/>
    <w:rsid w:val="000959F3"/>
    <w:rsid w:val="000A067D"/>
    <w:rsid w:val="000A4335"/>
    <w:rsid w:val="000A6CB4"/>
    <w:rsid w:val="000A6EB9"/>
    <w:rsid w:val="000B0D55"/>
    <w:rsid w:val="000B4C85"/>
    <w:rsid w:val="000B6BCB"/>
    <w:rsid w:val="000B7BE6"/>
    <w:rsid w:val="000C0084"/>
    <w:rsid w:val="000C0B62"/>
    <w:rsid w:val="000C2D70"/>
    <w:rsid w:val="000D048F"/>
    <w:rsid w:val="000D0F69"/>
    <w:rsid w:val="000D1A0D"/>
    <w:rsid w:val="000D33CD"/>
    <w:rsid w:val="000D4A27"/>
    <w:rsid w:val="000D77CA"/>
    <w:rsid w:val="000D7A5D"/>
    <w:rsid w:val="000E1007"/>
    <w:rsid w:val="000E20BA"/>
    <w:rsid w:val="000E3F95"/>
    <w:rsid w:val="000E6E76"/>
    <w:rsid w:val="000F0502"/>
    <w:rsid w:val="000F4A74"/>
    <w:rsid w:val="000F5074"/>
    <w:rsid w:val="000F5C04"/>
    <w:rsid w:val="001027F2"/>
    <w:rsid w:val="001039A0"/>
    <w:rsid w:val="001047E1"/>
    <w:rsid w:val="0010755E"/>
    <w:rsid w:val="00110249"/>
    <w:rsid w:val="00116A7E"/>
    <w:rsid w:val="00120C97"/>
    <w:rsid w:val="00121819"/>
    <w:rsid w:val="00122A0D"/>
    <w:rsid w:val="00122E98"/>
    <w:rsid w:val="00125096"/>
    <w:rsid w:val="001321F7"/>
    <w:rsid w:val="001338D2"/>
    <w:rsid w:val="001362AE"/>
    <w:rsid w:val="0013796A"/>
    <w:rsid w:val="0014416D"/>
    <w:rsid w:val="001469E3"/>
    <w:rsid w:val="001476E7"/>
    <w:rsid w:val="00150FB3"/>
    <w:rsid w:val="00153A8E"/>
    <w:rsid w:val="001554AD"/>
    <w:rsid w:val="00156D6D"/>
    <w:rsid w:val="001659AE"/>
    <w:rsid w:val="00166B2C"/>
    <w:rsid w:val="00170A90"/>
    <w:rsid w:val="00171B12"/>
    <w:rsid w:val="00171E10"/>
    <w:rsid w:val="001754A1"/>
    <w:rsid w:val="00176DBB"/>
    <w:rsid w:val="001818E0"/>
    <w:rsid w:val="00182CC1"/>
    <w:rsid w:val="00183249"/>
    <w:rsid w:val="00186D82"/>
    <w:rsid w:val="0019610D"/>
    <w:rsid w:val="001A2053"/>
    <w:rsid w:val="001A2D1C"/>
    <w:rsid w:val="001A741D"/>
    <w:rsid w:val="001B1743"/>
    <w:rsid w:val="001B28E3"/>
    <w:rsid w:val="001B33BA"/>
    <w:rsid w:val="001B7A88"/>
    <w:rsid w:val="001D0901"/>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D48"/>
    <w:rsid w:val="00242547"/>
    <w:rsid w:val="00243D08"/>
    <w:rsid w:val="00243E62"/>
    <w:rsid w:val="002447CD"/>
    <w:rsid w:val="002471E8"/>
    <w:rsid w:val="0025096A"/>
    <w:rsid w:val="00251BD3"/>
    <w:rsid w:val="002553E7"/>
    <w:rsid w:val="002559B2"/>
    <w:rsid w:val="002603FD"/>
    <w:rsid w:val="00260600"/>
    <w:rsid w:val="00266BC9"/>
    <w:rsid w:val="002739D6"/>
    <w:rsid w:val="00273E24"/>
    <w:rsid w:val="00275B25"/>
    <w:rsid w:val="00276DD7"/>
    <w:rsid w:val="002819AC"/>
    <w:rsid w:val="002830FC"/>
    <w:rsid w:val="00285310"/>
    <w:rsid w:val="00294F18"/>
    <w:rsid w:val="002A2035"/>
    <w:rsid w:val="002A26FF"/>
    <w:rsid w:val="002A2DB9"/>
    <w:rsid w:val="002A3ADA"/>
    <w:rsid w:val="002A4F88"/>
    <w:rsid w:val="002A54F4"/>
    <w:rsid w:val="002B6AF3"/>
    <w:rsid w:val="002B720D"/>
    <w:rsid w:val="002B7E89"/>
    <w:rsid w:val="002C1BBC"/>
    <w:rsid w:val="002C1D9F"/>
    <w:rsid w:val="002C4C47"/>
    <w:rsid w:val="002C5657"/>
    <w:rsid w:val="002D175D"/>
    <w:rsid w:val="002D2166"/>
    <w:rsid w:val="002D25CF"/>
    <w:rsid w:val="002D57EA"/>
    <w:rsid w:val="002D7830"/>
    <w:rsid w:val="002E04B4"/>
    <w:rsid w:val="002E6590"/>
    <w:rsid w:val="002E6889"/>
    <w:rsid w:val="002E6C10"/>
    <w:rsid w:val="002F1B19"/>
    <w:rsid w:val="002F4A81"/>
    <w:rsid w:val="002F4FE2"/>
    <w:rsid w:val="002F6B79"/>
    <w:rsid w:val="0030251F"/>
    <w:rsid w:val="0030583A"/>
    <w:rsid w:val="00306DFB"/>
    <w:rsid w:val="00306FF6"/>
    <w:rsid w:val="003079E6"/>
    <w:rsid w:val="00311B82"/>
    <w:rsid w:val="003137F9"/>
    <w:rsid w:val="003152E4"/>
    <w:rsid w:val="0031621B"/>
    <w:rsid w:val="00316A0A"/>
    <w:rsid w:val="0031757A"/>
    <w:rsid w:val="003175EF"/>
    <w:rsid w:val="00330D5E"/>
    <w:rsid w:val="003325D2"/>
    <w:rsid w:val="003331EE"/>
    <w:rsid w:val="00340A3B"/>
    <w:rsid w:val="0034123A"/>
    <w:rsid w:val="00342586"/>
    <w:rsid w:val="00343BA2"/>
    <w:rsid w:val="0034426F"/>
    <w:rsid w:val="0034578E"/>
    <w:rsid w:val="00345A4A"/>
    <w:rsid w:val="003514F5"/>
    <w:rsid w:val="00352FDC"/>
    <w:rsid w:val="003543AC"/>
    <w:rsid w:val="003678C8"/>
    <w:rsid w:val="00367C55"/>
    <w:rsid w:val="00371D19"/>
    <w:rsid w:val="00372D8E"/>
    <w:rsid w:val="003740D8"/>
    <w:rsid w:val="00374619"/>
    <w:rsid w:val="00374D26"/>
    <w:rsid w:val="00381619"/>
    <w:rsid w:val="00382ADF"/>
    <w:rsid w:val="00382C4F"/>
    <w:rsid w:val="003836FB"/>
    <w:rsid w:val="00384ADB"/>
    <w:rsid w:val="00384CCD"/>
    <w:rsid w:val="00384E98"/>
    <w:rsid w:val="00394AAD"/>
    <w:rsid w:val="00394CDA"/>
    <w:rsid w:val="003956F6"/>
    <w:rsid w:val="003A1311"/>
    <w:rsid w:val="003A2B0F"/>
    <w:rsid w:val="003A2EB3"/>
    <w:rsid w:val="003A4596"/>
    <w:rsid w:val="003B639B"/>
    <w:rsid w:val="003B6C66"/>
    <w:rsid w:val="003C0ED3"/>
    <w:rsid w:val="003C1821"/>
    <w:rsid w:val="003C52B4"/>
    <w:rsid w:val="003D05CF"/>
    <w:rsid w:val="003D1BB2"/>
    <w:rsid w:val="003E0B69"/>
    <w:rsid w:val="003E339C"/>
    <w:rsid w:val="003E63F8"/>
    <w:rsid w:val="003E7CD5"/>
    <w:rsid w:val="003F40AD"/>
    <w:rsid w:val="004029EB"/>
    <w:rsid w:val="004035A4"/>
    <w:rsid w:val="00404383"/>
    <w:rsid w:val="00414959"/>
    <w:rsid w:val="0042403F"/>
    <w:rsid w:val="0044378F"/>
    <w:rsid w:val="0044635C"/>
    <w:rsid w:val="004504DC"/>
    <w:rsid w:val="00450592"/>
    <w:rsid w:val="00451095"/>
    <w:rsid w:val="004516C1"/>
    <w:rsid w:val="00455858"/>
    <w:rsid w:val="00457D96"/>
    <w:rsid w:val="00461DF8"/>
    <w:rsid w:val="0046225F"/>
    <w:rsid w:val="00470DB6"/>
    <w:rsid w:val="00477B10"/>
    <w:rsid w:val="00482D55"/>
    <w:rsid w:val="0048672B"/>
    <w:rsid w:val="004964BE"/>
    <w:rsid w:val="0049707E"/>
    <w:rsid w:val="004978CB"/>
    <w:rsid w:val="00497984"/>
    <w:rsid w:val="00497F6D"/>
    <w:rsid w:val="004A0217"/>
    <w:rsid w:val="004A70B8"/>
    <w:rsid w:val="004A7150"/>
    <w:rsid w:val="004B15AD"/>
    <w:rsid w:val="004B5131"/>
    <w:rsid w:val="004B6582"/>
    <w:rsid w:val="004B7D09"/>
    <w:rsid w:val="004C1504"/>
    <w:rsid w:val="004C3594"/>
    <w:rsid w:val="004C61DB"/>
    <w:rsid w:val="004D29C4"/>
    <w:rsid w:val="004D5B44"/>
    <w:rsid w:val="004D6745"/>
    <w:rsid w:val="004D7A2D"/>
    <w:rsid w:val="004E1BE7"/>
    <w:rsid w:val="004E54FC"/>
    <w:rsid w:val="004E7AE8"/>
    <w:rsid w:val="004F0893"/>
    <w:rsid w:val="004F4FE4"/>
    <w:rsid w:val="004F6548"/>
    <w:rsid w:val="004F65D3"/>
    <w:rsid w:val="004F6CAB"/>
    <w:rsid w:val="004F703B"/>
    <w:rsid w:val="00501BB3"/>
    <w:rsid w:val="005111E2"/>
    <w:rsid w:val="005122E6"/>
    <w:rsid w:val="005135D0"/>
    <w:rsid w:val="00516978"/>
    <w:rsid w:val="0052006F"/>
    <w:rsid w:val="0052097B"/>
    <w:rsid w:val="00521263"/>
    <w:rsid w:val="00523B26"/>
    <w:rsid w:val="00527303"/>
    <w:rsid w:val="00527E15"/>
    <w:rsid w:val="005328EE"/>
    <w:rsid w:val="00533C6B"/>
    <w:rsid w:val="005368D8"/>
    <w:rsid w:val="00547825"/>
    <w:rsid w:val="00550A8B"/>
    <w:rsid w:val="00553053"/>
    <w:rsid w:val="005534D5"/>
    <w:rsid w:val="0055675B"/>
    <w:rsid w:val="00560D26"/>
    <w:rsid w:val="00561345"/>
    <w:rsid w:val="005619C1"/>
    <w:rsid w:val="00565FEA"/>
    <w:rsid w:val="00566DF5"/>
    <w:rsid w:val="005676EF"/>
    <w:rsid w:val="00570070"/>
    <w:rsid w:val="005713BF"/>
    <w:rsid w:val="005730DB"/>
    <w:rsid w:val="00573278"/>
    <w:rsid w:val="00575864"/>
    <w:rsid w:val="00576B89"/>
    <w:rsid w:val="0058046C"/>
    <w:rsid w:val="005829B8"/>
    <w:rsid w:val="00585B99"/>
    <w:rsid w:val="00594607"/>
    <w:rsid w:val="005A035E"/>
    <w:rsid w:val="005A3C7E"/>
    <w:rsid w:val="005A41B7"/>
    <w:rsid w:val="005A62C5"/>
    <w:rsid w:val="005A7E26"/>
    <w:rsid w:val="005A7E9F"/>
    <w:rsid w:val="005B2258"/>
    <w:rsid w:val="005B4B6C"/>
    <w:rsid w:val="005C09EB"/>
    <w:rsid w:val="005C61F5"/>
    <w:rsid w:val="005D3C6E"/>
    <w:rsid w:val="005E0D28"/>
    <w:rsid w:val="005E5449"/>
    <w:rsid w:val="005E5F8A"/>
    <w:rsid w:val="005F2FDC"/>
    <w:rsid w:val="005F6806"/>
    <w:rsid w:val="005F74F2"/>
    <w:rsid w:val="005F7808"/>
    <w:rsid w:val="00607579"/>
    <w:rsid w:val="006135AF"/>
    <w:rsid w:val="00617464"/>
    <w:rsid w:val="00620666"/>
    <w:rsid w:val="0062109E"/>
    <w:rsid w:val="00622D50"/>
    <w:rsid w:val="00625B28"/>
    <w:rsid w:val="00632A49"/>
    <w:rsid w:val="006363B9"/>
    <w:rsid w:val="006449EF"/>
    <w:rsid w:val="0064726D"/>
    <w:rsid w:val="00651E03"/>
    <w:rsid w:val="00656C20"/>
    <w:rsid w:val="00660707"/>
    <w:rsid w:val="00660B6F"/>
    <w:rsid w:val="00666ADB"/>
    <w:rsid w:val="00666CCF"/>
    <w:rsid w:val="00667ACD"/>
    <w:rsid w:val="00670566"/>
    <w:rsid w:val="00671576"/>
    <w:rsid w:val="00672708"/>
    <w:rsid w:val="006727C5"/>
    <w:rsid w:val="0067550F"/>
    <w:rsid w:val="0068075C"/>
    <w:rsid w:val="006807F9"/>
    <w:rsid w:val="00683D48"/>
    <w:rsid w:val="00683FAB"/>
    <w:rsid w:val="0068501D"/>
    <w:rsid w:val="006870BC"/>
    <w:rsid w:val="00690A55"/>
    <w:rsid w:val="00691126"/>
    <w:rsid w:val="0069286F"/>
    <w:rsid w:val="00693126"/>
    <w:rsid w:val="006A0A5D"/>
    <w:rsid w:val="006A2721"/>
    <w:rsid w:val="006A6E76"/>
    <w:rsid w:val="006A7A42"/>
    <w:rsid w:val="006B20E6"/>
    <w:rsid w:val="006B3ACD"/>
    <w:rsid w:val="006B4F8B"/>
    <w:rsid w:val="006C4F03"/>
    <w:rsid w:val="006C5D81"/>
    <w:rsid w:val="006D349E"/>
    <w:rsid w:val="006D71F2"/>
    <w:rsid w:val="006D7F53"/>
    <w:rsid w:val="006E2761"/>
    <w:rsid w:val="006E31E3"/>
    <w:rsid w:val="006F1A2F"/>
    <w:rsid w:val="006F226B"/>
    <w:rsid w:val="006F3782"/>
    <w:rsid w:val="006F4206"/>
    <w:rsid w:val="006F5F03"/>
    <w:rsid w:val="006F6DCF"/>
    <w:rsid w:val="00702D11"/>
    <w:rsid w:val="00703098"/>
    <w:rsid w:val="007047E0"/>
    <w:rsid w:val="00707858"/>
    <w:rsid w:val="007122E1"/>
    <w:rsid w:val="007124C5"/>
    <w:rsid w:val="00714B2C"/>
    <w:rsid w:val="0071600A"/>
    <w:rsid w:val="007179C1"/>
    <w:rsid w:val="00723947"/>
    <w:rsid w:val="007243FD"/>
    <w:rsid w:val="00724CD8"/>
    <w:rsid w:val="00726472"/>
    <w:rsid w:val="00737FAB"/>
    <w:rsid w:val="00742691"/>
    <w:rsid w:val="00744506"/>
    <w:rsid w:val="00754E4D"/>
    <w:rsid w:val="007565F8"/>
    <w:rsid w:val="0076243B"/>
    <w:rsid w:val="007665E5"/>
    <w:rsid w:val="007778C8"/>
    <w:rsid w:val="007865E6"/>
    <w:rsid w:val="007921A2"/>
    <w:rsid w:val="00793C2B"/>
    <w:rsid w:val="00795972"/>
    <w:rsid w:val="007A1123"/>
    <w:rsid w:val="007B089D"/>
    <w:rsid w:val="007B2227"/>
    <w:rsid w:val="007B307D"/>
    <w:rsid w:val="007B494D"/>
    <w:rsid w:val="007B6560"/>
    <w:rsid w:val="007C7A70"/>
    <w:rsid w:val="007D11D4"/>
    <w:rsid w:val="007D28C2"/>
    <w:rsid w:val="007D3178"/>
    <w:rsid w:val="007D5BAF"/>
    <w:rsid w:val="007D5BB0"/>
    <w:rsid w:val="007E1FA5"/>
    <w:rsid w:val="007E2BA3"/>
    <w:rsid w:val="007E41E9"/>
    <w:rsid w:val="007F2D44"/>
    <w:rsid w:val="007F34BF"/>
    <w:rsid w:val="007F4E3A"/>
    <w:rsid w:val="00802C65"/>
    <w:rsid w:val="00802F9C"/>
    <w:rsid w:val="00803133"/>
    <w:rsid w:val="00805020"/>
    <w:rsid w:val="00807718"/>
    <w:rsid w:val="00810916"/>
    <w:rsid w:val="008151F7"/>
    <w:rsid w:val="008157A1"/>
    <w:rsid w:val="00822F55"/>
    <w:rsid w:val="008253CF"/>
    <w:rsid w:val="00831345"/>
    <w:rsid w:val="00831457"/>
    <w:rsid w:val="00833136"/>
    <w:rsid w:val="008341AD"/>
    <w:rsid w:val="00836FE4"/>
    <w:rsid w:val="00841A19"/>
    <w:rsid w:val="00842373"/>
    <w:rsid w:val="0084418D"/>
    <w:rsid w:val="0084431A"/>
    <w:rsid w:val="00844335"/>
    <w:rsid w:val="00846367"/>
    <w:rsid w:val="00850A20"/>
    <w:rsid w:val="008530FE"/>
    <w:rsid w:val="00855965"/>
    <w:rsid w:val="00861D83"/>
    <w:rsid w:val="00864D88"/>
    <w:rsid w:val="00866246"/>
    <w:rsid w:val="008758C9"/>
    <w:rsid w:val="00876C16"/>
    <w:rsid w:val="00880E4D"/>
    <w:rsid w:val="00881D3B"/>
    <w:rsid w:val="00881E1B"/>
    <w:rsid w:val="0088202C"/>
    <w:rsid w:val="00886BFF"/>
    <w:rsid w:val="00890BC9"/>
    <w:rsid w:val="00891241"/>
    <w:rsid w:val="008979E9"/>
    <w:rsid w:val="008A0DA3"/>
    <w:rsid w:val="008A75A6"/>
    <w:rsid w:val="008A7CBE"/>
    <w:rsid w:val="008B5415"/>
    <w:rsid w:val="008B563D"/>
    <w:rsid w:val="008C0F4B"/>
    <w:rsid w:val="008C126F"/>
    <w:rsid w:val="008C2AA7"/>
    <w:rsid w:val="008C33CB"/>
    <w:rsid w:val="008C6F9D"/>
    <w:rsid w:val="008E776F"/>
    <w:rsid w:val="008F05EA"/>
    <w:rsid w:val="008F1D37"/>
    <w:rsid w:val="008F2EAC"/>
    <w:rsid w:val="00902834"/>
    <w:rsid w:val="0090680D"/>
    <w:rsid w:val="00907852"/>
    <w:rsid w:val="00910751"/>
    <w:rsid w:val="009111F4"/>
    <w:rsid w:val="00912D25"/>
    <w:rsid w:val="00913910"/>
    <w:rsid w:val="009145E7"/>
    <w:rsid w:val="009167B8"/>
    <w:rsid w:val="00920CD9"/>
    <w:rsid w:val="00921401"/>
    <w:rsid w:val="00922E92"/>
    <w:rsid w:val="0092307F"/>
    <w:rsid w:val="00932582"/>
    <w:rsid w:val="00934164"/>
    <w:rsid w:val="00940F76"/>
    <w:rsid w:val="0094479E"/>
    <w:rsid w:val="00945103"/>
    <w:rsid w:val="00950591"/>
    <w:rsid w:val="00950C70"/>
    <w:rsid w:val="009552E6"/>
    <w:rsid w:val="00955539"/>
    <w:rsid w:val="009603EC"/>
    <w:rsid w:val="00964597"/>
    <w:rsid w:val="00966FE5"/>
    <w:rsid w:val="009704F4"/>
    <w:rsid w:val="00972014"/>
    <w:rsid w:val="0097356D"/>
    <w:rsid w:val="00981239"/>
    <w:rsid w:val="009827C1"/>
    <w:rsid w:val="009855F8"/>
    <w:rsid w:val="00986E67"/>
    <w:rsid w:val="009916F3"/>
    <w:rsid w:val="00994481"/>
    <w:rsid w:val="00996A9C"/>
    <w:rsid w:val="00996BA6"/>
    <w:rsid w:val="009A481A"/>
    <w:rsid w:val="009A57FB"/>
    <w:rsid w:val="009A5C3B"/>
    <w:rsid w:val="009B0603"/>
    <w:rsid w:val="009B1DF4"/>
    <w:rsid w:val="009B58D6"/>
    <w:rsid w:val="009C09CB"/>
    <w:rsid w:val="009C1583"/>
    <w:rsid w:val="009C3E49"/>
    <w:rsid w:val="009D0053"/>
    <w:rsid w:val="009D14F1"/>
    <w:rsid w:val="009D1531"/>
    <w:rsid w:val="009D1D3A"/>
    <w:rsid w:val="009E2168"/>
    <w:rsid w:val="009E4178"/>
    <w:rsid w:val="009E78BB"/>
    <w:rsid w:val="00A000B5"/>
    <w:rsid w:val="00A01D79"/>
    <w:rsid w:val="00A0642D"/>
    <w:rsid w:val="00A1386F"/>
    <w:rsid w:val="00A175A1"/>
    <w:rsid w:val="00A17832"/>
    <w:rsid w:val="00A24445"/>
    <w:rsid w:val="00A24841"/>
    <w:rsid w:val="00A2723B"/>
    <w:rsid w:val="00A307FB"/>
    <w:rsid w:val="00A349F8"/>
    <w:rsid w:val="00A414F3"/>
    <w:rsid w:val="00A4217E"/>
    <w:rsid w:val="00A47E5E"/>
    <w:rsid w:val="00A526D9"/>
    <w:rsid w:val="00A53CC8"/>
    <w:rsid w:val="00A53CE5"/>
    <w:rsid w:val="00A5552E"/>
    <w:rsid w:val="00A652B0"/>
    <w:rsid w:val="00A67105"/>
    <w:rsid w:val="00A67C7E"/>
    <w:rsid w:val="00A74C89"/>
    <w:rsid w:val="00A81C39"/>
    <w:rsid w:val="00A82AD6"/>
    <w:rsid w:val="00A91A36"/>
    <w:rsid w:val="00A93E6E"/>
    <w:rsid w:val="00A96000"/>
    <w:rsid w:val="00A96931"/>
    <w:rsid w:val="00A97F64"/>
    <w:rsid w:val="00AA185D"/>
    <w:rsid w:val="00AA3578"/>
    <w:rsid w:val="00AA4538"/>
    <w:rsid w:val="00AA5619"/>
    <w:rsid w:val="00AA5927"/>
    <w:rsid w:val="00AA6A86"/>
    <w:rsid w:val="00AC2253"/>
    <w:rsid w:val="00AC2605"/>
    <w:rsid w:val="00AC6E6B"/>
    <w:rsid w:val="00AD12A5"/>
    <w:rsid w:val="00AD18B2"/>
    <w:rsid w:val="00AD3BD0"/>
    <w:rsid w:val="00AD58AE"/>
    <w:rsid w:val="00AD7AFE"/>
    <w:rsid w:val="00AE0D75"/>
    <w:rsid w:val="00AE0E15"/>
    <w:rsid w:val="00AE1FC8"/>
    <w:rsid w:val="00AE3EA5"/>
    <w:rsid w:val="00AE4F13"/>
    <w:rsid w:val="00AF11AD"/>
    <w:rsid w:val="00B00823"/>
    <w:rsid w:val="00B02FD1"/>
    <w:rsid w:val="00B068AD"/>
    <w:rsid w:val="00B06ECB"/>
    <w:rsid w:val="00B12446"/>
    <w:rsid w:val="00B13E82"/>
    <w:rsid w:val="00B14E54"/>
    <w:rsid w:val="00B217D4"/>
    <w:rsid w:val="00B22897"/>
    <w:rsid w:val="00B24BE5"/>
    <w:rsid w:val="00B24E61"/>
    <w:rsid w:val="00B317CF"/>
    <w:rsid w:val="00B32391"/>
    <w:rsid w:val="00B35AFE"/>
    <w:rsid w:val="00B374D5"/>
    <w:rsid w:val="00B41E08"/>
    <w:rsid w:val="00B43673"/>
    <w:rsid w:val="00B45725"/>
    <w:rsid w:val="00B51350"/>
    <w:rsid w:val="00B54FB4"/>
    <w:rsid w:val="00B55716"/>
    <w:rsid w:val="00B57089"/>
    <w:rsid w:val="00B57753"/>
    <w:rsid w:val="00B60B66"/>
    <w:rsid w:val="00B62730"/>
    <w:rsid w:val="00B62738"/>
    <w:rsid w:val="00B6387E"/>
    <w:rsid w:val="00B651B5"/>
    <w:rsid w:val="00B7012D"/>
    <w:rsid w:val="00B7067C"/>
    <w:rsid w:val="00B73FC0"/>
    <w:rsid w:val="00B7485B"/>
    <w:rsid w:val="00B75807"/>
    <w:rsid w:val="00B76BC4"/>
    <w:rsid w:val="00B770A0"/>
    <w:rsid w:val="00B8659E"/>
    <w:rsid w:val="00B9108A"/>
    <w:rsid w:val="00B935D6"/>
    <w:rsid w:val="00B95CED"/>
    <w:rsid w:val="00B974CC"/>
    <w:rsid w:val="00BA08B4"/>
    <w:rsid w:val="00BA2739"/>
    <w:rsid w:val="00BA3419"/>
    <w:rsid w:val="00BA3B91"/>
    <w:rsid w:val="00BA50D2"/>
    <w:rsid w:val="00BB5B5C"/>
    <w:rsid w:val="00BC0B85"/>
    <w:rsid w:val="00BC40CB"/>
    <w:rsid w:val="00BC471B"/>
    <w:rsid w:val="00BD3405"/>
    <w:rsid w:val="00BD420F"/>
    <w:rsid w:val="00BE1B95"/>
    <w:rsid w:val="00BE1D1E"/>
    <w:rsid w:val="00BE234A"/>
    <w:rsid w:val="00BE37E6"/>
    <w:rsid w:val="00BE4002"/>
    <w:rsid w:val="00BE4226"/>
    <w:rsid w:val="00BE5E44"/>
    <w:rsid w:val="00BE6D37"/>
    <w:rsid w:val="00BF0B1D"/>
    <w:rsid w:val="00BF3903"/>
    <w:rsid w:val="00BF3FC1"/>
    <w:rsid w:val="00BF4F31"/>
    <w:rsid w:val="00BF7B62"/>
    <w:rsid w:val="00C009D0"/>
    <w:rsid w:val="00C02FBD"/>
    <w:rsid w:val="00C03F80"/>
    <w:rsid w:val="00C0465D"/>
    <w:rsid w:val="00C04D9F"/>
    <w:rsid w:val="00C121E9"/>
    <w:rsid w:val="00C13199"/>
    <w:rsid w:val="00C17430"/>
    <w:rsid w:val="00C23701"/>
    <w:rsid w:val="00C37F73"/>
    <w:rsid w:val="00C40702"/>
    <w:rsid w:val="00C40703"/>
    <w:rsid w:val="00C42501"/>
    <w:rsid w:val="00C470CB"/>
    <w:rsid w:val="00C47101"/>
    <w:rsid w:val="00C51233"/>
    <w:rsid w:val="00C56210"/>
    <w:rsid w:val="00C57EDC"/>
    <w:rsid w:val="00C61E65"/>
    <w:rsid w:val="00C64DEF"/>
    <w:rsid w:val="00C6608B"/>
    <w:rsid w:val="00C66539"/>
    <w:rsid w:val="00C66B9A"/>
    <w:rsid w:val="00C70B4D"/>
    <w:rsid w:val="00C748BB"/>
    <w:rsid w:val="00C75A62"/>
    <w:rsid w:val="00C76A06"/>
    <w:rsid w:val="00C804E7"/>
    <w:rsid w:val="00C80603"/>
    <w:rsid w:val="00C80920"/>
    <w:rsid w:val="00C81BFE"/>
    <w:rsid w:val="00C82553"/>
    <w:rsid w:val="00C859D2"/>
    <w:rsid w:val="00C948ED"/>
    <w:rsid w:val="00C94CCD"/>
    <w:rsid w:val="00CA75BC"/>
    <w:rsid w:val="00CB2375"/>
    <w:rsid w:val="00CB7C99"/>
    <w:rsid w:val="00CC2795"/>
    <w:rsid w:val="00CC6016"/>
    <w:rsid w:val="00CD00BD"/>
    <w:rsid w:val="00CD3683"/>
    <w:rsid w:val="00CD4A6E"/>
    <w:rsid w:val="00CD533F"/>
    <w:rsid w:val="00CD7EB4"/>
    <w:rsid w:val="00CE0F1A"/>
    <w:rsid w:val="00CE10BE"/>
    <w:rsid w:val="00CE2F22"/>
    <w:rsid w:val="00CE72D4"/>
    <w:rsid w:val="00CF5E8C"/>
    <w:rsid w:val="00CF5F7D"/>
    <w:rsid w:val="00D01B51"/>
    <w:rsid w:val="00D069A7"/>
    <w:rsid w:val="00D1064B"/>
    <w:rsid w:val="00D132AE"/>
    <w:rsid w:val="00D13729"/>
    <w:rsid w:val="00D14A16"/>
    <w:rsid w:val="00D22BFF"/>
    <w:rsid w:val="00D31504"/>
    <w:rsid w:val="00D32CA2"/>
    <w:rsid w:val="00D41A27"/>
    <w:rsid w:val="00D439DD"/>
    <w:rsid w:val="00D44896"/>
    <w:rsid w:val="00D535E1"/>
    <w:rsid w:val="00D53B9A"/>
    <w:rsid w:val="00D601B4"/>
    <w:rsid w:val="00D675A5"/>
    <w:rsid w:val="00D67B87"/>
    <w:rsid w:val="00D72C82"/>
    <w:rsid w:val="00D74031"/>
    <w:rsid w:val="00D778BD"/>
    <w:rsid w:val="00D8213F"/>
    <w:rsid w:val="00D83F69"/>
    <w:rsid w:val="00D85581"/>
    <w:rsid w:val="00D93ED0"/>
    <w:rsid w:val="00DA2050"/>
    <w:rsid w:val="00DA40A9"/>
    <w:rsid w:val="00DA4B04"/>
    <w:rsid w:val="00DA6572"/>
    <w:rsid w:val="00DB10A9"/>
    <w:rsid w:val="00DB1624"/>
    <w:rsid w:val="00DD2670"/>
    <w:rsid w:val="00DD3D01"/>
    <w:rsid w:val="00DD3F25"/>
    <w:rsid w:val="00DE0821"/>
    <w:rsid w:val="00DE50BD"/>
    <w:rsid w:val="00DE6C87"/>
    <w:rsid w:val="00DF1996"/>
    <w:rsid w:val="00DF298B"/>
    <w:rsid w:val="00DF53C4"/>
    <w:rsid w:val="00DF7980"/>
    <w:rsid w:val="00DF7F47"/>
    <w:rsid w:val="00E01EB1"/>
    <w:rsid w:val="00E061A5"/>
    <w:rsid w:val="00E1116F"/>
    <w:rsid w:val="00E114E1"/>
    <w:rsid w:val="00E12008"/>
    <w:rsid w:val="00E1272D"/>
    <w:rsid w:val="00E133A5"/>
    <w:rsid w:val="00E154D7"/>
    <w:rsid w:val="00E154EB"/>
    <w:rsid w:val="00E1593E"/>
    <w:rsid w:val="00E16918"/>
    <w:rsid w:val="00E22188"/>
    <w:rsid w:val="00E25F6E"/>
    <w:rsid w:val="00E31F4F"/>
    <w:rsid w:val="00E32508"/>
    <w:rsid w:val="00E33945"/>
    <w:rsid w:val="00E37E58"/>
    <w:rsid w:val="00E42E38"/>
    <w:rsid w:val="00E45F47"/>
    <w:rsid w:val="00E50208"/>
    <w:rsid w:val="00E51F65"/>
    <w:rsid w:val="00E53660"/>
    <w:rsid w:val="00E560F6"/>
    <w:rsid w:val="00E622F3"/>
    <w:rsid w:val="00E64BE2"/>
    <w:rsid w:val="00E738AC"/>
    <w:rsid w:val="00E73AAE"/>
    <w:rsid w:val="00E73ACF"/>
    <w:rsid w:val="00E81502"/>
    <w:rsid w:val="00E86182"/>
    <w:rsid w:val="00E86260"/>
    <w:rsid w:val="00E9116B"/>
    <w:rsid w:val="00E92C43"/>
    <w:rsid w:val="00E94071"/>
    <w:rsid w:val="00E94DCE"/>
    <w:rsid w:val="00E95CBD"/>
    <w:rsid w:val="00E962A2"/>
    <w:rsid w:val="00EA0CFA"/>
    <w:rsid w:val="00EA12C5"/>
    <w:rsid w:val="00EB094D"/>
    <w:rsid w:val="00EC16DD"/>
    <w:rsid w:val="00EC47C9"/>
    <w:rsid w:val="00EC76D3"/>
    <w:rsid w:val="00ED11A3"/>
    <w:rsid w:val="00ED468D"/>
    <w:rsid w:val="00ED525F"/>
    <w:rsid w:val="00ED53FC"/>
    <w:rsid w:val="00ED6E93"/>
    <w:rsid w:val="00EE0486"/>
    <w:rsid w:val="00EE2A2C"/>
    <w:rsid w:val="00EE36C0"/>
    <w:rsid w:val="00EE39FE"/>
    <w:rsid w:val="00EF1824"/>
    <w:rsid w:val="00EF6B53"/>
    <w:rsid w:val="00EF7155"/>
    <w:rsid w:val="00F01854"/>
    <w:rsid w:val="00F04851"/>
    <w:rsid w:val="00F04E45"/>
    <w:rsid w:val="00F07CAD"/>
    <w:rsid w:val="00F117BC"/>
    <w:rsid w:val="00F12534"/>
    <w:rsid w:val="00F16E3F"/>
    <w:rsid w:val="00F210B9"/>
    <w:rsid w:val="00F23D57"/>
    <w:rsid w:val="00F23EAD"/>
    <w:rsid w:val="00F25518"/>
    <w:rsid w:val="00F26380"/>
    <w:rsid w:val="00F33878"/>
    <w:rsid w:val="00F33A8E"/>
    <w:rsid w:val="00F344A5"/>
    <w:rsid w:val="00F3456D"/>
    <w:rsid w:val="00F34E9E"/>
    <w:rsid w:val="00F34FD7"/>
    <w:rsid w:val="00F410FE"/>
    <w:rsid w:val="00F453F1"/>
    <w:rsid w:val="00F50678"/>
    <w:rsid w:val="00F52369"/>
    <w:rsid w:val="00F5737C"/>
    <w:rsid w:val="00F60530"/>
    <w:rsid w:val="00F631F7"/>
    <w:rsid w:val="00F70423"/>
    <w:rsid w:val="00F71497"/>
    <w:rsid w:val="00F74D42"/>
    <w:rsid w:val="00F7588E"/>
    <w:rsid w:val="00F84AD3"/>
    <w:rsid w:val="00F84DC8"/>
    <w:rsid w:val="00F85834"/>
    <w:rsid w:val="00F929E8"/>
    <w:rsid w:val="00F9642A"/>
    <w:rsid w:val="00FA4C0D"/>
    <w:rsid w:val="00FB0B39"/>
    <w:rsid w:val="00FB5C5E"/>
    <w:rsid w:val="00FB7914"/>
    <w:rsid w:val="00FC02F2"/>
    <w:rsid w:val="00FD0F66"/>
    <w:rsid w:val="00FD1264"/>
    <w:rsid w:val="00FD78F0"/>
    <w:rsid w:val="00FE4853"/>
    <w:rsid w:val="00FE6AA1"/>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924AE"/>
  <w15:docId w15:val="{AACD2375-6ECE-4FBF-B445-98AE0F866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mazon.com/Principles-Economics-Economy-2nd/dp/1930789130/ref=sr_1_2?ie=UTF8&amp;qid=1421198653&amp;sr=8-2&amp;keywords=timothy+taylor+economi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nytimes.com/2015/01/04/opinion/sunday/is-life-better-in-americas-red-states.html?ref=todayspaper&amp;_r=2"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washingtonpost.com/blogs/post-partisan/wp/2015/01/05/the-insiders-income-inequality-the-issue-the-democrats-want/" TargetMode="External"/><Relationship Id="rId11" Type="http://schemas.openxmlformats.org/officeDocument/2006/relationships/hyperlink" Target="http://www.washingtonpost.com/blogs/wonkblog/wp/2014/12/18/the-unbelievable-rise-of-single-motherhood-in-america-over-the-last-50-years/" TargetMode="External"/><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FCCED0-7D40-4529-AC9C-8775506F5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38108</TotalTime>
  <Pages>6</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Conrad</dc:creator>
  <cp:lastModifiedBy>Conrad Schiff</cp:lastModifiedBy>
  <cp:revision>87</cp:revision>
  <dcterms:created xsi:type="dcterms:W3CDTF">2014-11-16T23:13:00Z</dcterms:created>
  <dcterms:modified xsi:type="dcterms:W3CDTF">2025-12-03T18:26:00Z</dcterms:modified>
</cp:coreProperties>
</file>