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b/>
          <w:color w:val="1E3A8A"/>
          <w:sz w:val="44"/>
        </w:rPr>
        <w:t>Software Development &amp; Implementation Proposal</w:t>
      </w:r>
    </w:p>
    <w:p>
      <w:pPr>
        <w:spacing w:after="120"/>
      </w:pPr>
    </w:p>
    <w:p>
      <w:pPr>
        <w:spacing w:after="160" w:line="276" w:lineRule="auto"/>
      </w:pPr>
      <w:r>
        <w:rPr>
          <w:b/>
        </w:rPr>
        <w:t>Project:</w:t>
      </w:r>
      <w:r>
        <w:t xml:space="preserve"> Real Estate &amp; Property Management System MVP</w:t>
      </w:r>
    </w:p>
    <w:p>
      <w:pPr>
        <w:spacing w:after="160" w:line="276" w:lineRule="auto"/>
      </w:pPr>
      <w:r>
        <w:rPr>
          <w:b/>
        </w:rPr>
        <w:t>Prepared For:</w:t>
      </w:r>
      <w:r>
        <w:t xml:space="preserve"> Prospective Client</w:t>
      </w:r>
    </w:p>
    <w:p>
      <w:pPr>
        <w:spacing w:after="160" w:line="276" w:lineRule="auto"/>
      </w:pPr>
      <w:r>
        <w:rPr>
          <w:b/>
        </w:rPr>
        <w:t>Prepared By:</w:t>
      </w:r>
      <w:r>
        <w:t xml:space="preserve"> Developer / System Architect</w:t>
      </w:r>
    </w:p>
    <w:p>
      <w:pPr>
        <w:spacing w:after="160" w:line="276" w:lineRule="auto"/>
      </w:pPr>
      <w:r>
        <w:rPr>
          <w:b/>
        </w:rPr>
        <w:t>Date:</w:t>
      </w:r>
      <w:r>
        <w:t xml:space="preserve"> June 2026</w:t>
      </w:r>
    </w:p>
    <w:p>
      <w:pPr>
        <w:spacing w:after="120"/>
      </w:pPr>
    </w:p>
    <w:p>
      <w:pPr>
        <w:spacing w:before="240" w:after="240"/>
        <w:pBdr>
          <w:bottom w:val="single" w:sz="6" w:space="1" w:color="CCCCCC"/>
        </w:pBdr>
      </w:pPr>
    </w:p>
    <w:p>
      <w:pPr>
        <w:spacing w:after="120"/>
      </w:pPr>
    </w:p>
    <w:p>
      <w:pPr>
        <w:spacing w:before="320" w:after="160"/>
      </w:pPr>
      <w:r>
        <w:rPr>
          <w:b/>
          <w:color w:val="2563EB"/>
          <w:sz w:val="30"/>
        </w:rPr>
        <w:t>1. Executive Summary</w:t>
      </w:r>
    </w:p>
    <w:p>
      <w:pPr>
        <w:spacing w:after="160" w:line="276" w:lineRule="auto"/>
      </w:pPr>
      <w:r>
        <w:t xml:space="preserve">This proposal outlines the terms, scope, and pricing for licensing and customizing the </w:t>
      </w:r>
      <w:r>
        <w:rPr>
          <w:b/>
        </w:rPr>
        <w:t>Real Estate &amp; Property Management System MVP</w:t>
      </w:r>
      <w:r>
        <w:t>. This software is a modern, fully-featured solution built to streamline operations for real estate agencies, property developers, landlords, and property owners. It provides three main interfaces:</w:t>
      </w:r>
    </w:p>
    <w:p>
      <w:pPr>
        <w:spacing w:after="80"/>
        <w:ind w:left="360" w:hanging="360"/>
      </w:pPr>
      <w:r>
        <w:rPr>
          <w:b/>
        </w:rPr>
        <w:t xml:space="preserve">1. </w:t>
      </w:r>
      <w:r>
        <w:rPr>
          <w:b/>
        </w:rPr>
        <w:t>Admin Control Panel</w:t>
      </w:r>
      <w:r>
        <w:t xml:space="preserve"> for full backend and data management.</w:t>
      </w:r>
    </w:p>
    <w:p>
      <w:pPr>
        <w:spacing w:after="80"/>
        <w:ind w:left="360" w:hanging="360"/>
      </w:pPr>
      <w:r>
        <w:rPr>
          <w:b/>
        </w:rPr>
        <w:t xml:space="preserve">2. </w:t>
      </w:r>
      <w:r>
        <w:rPr>
          <w:b/>
        </w:rPr>
        <w:t>Tenant Portal</w:t>
      </w:r>
      <w:r>
        <w:t xml:space="preserve"> for payment tracking and maintenance requests.</w:t>
      </w:r>
    </w:p>
    <w:p>
      <w:pPr>
        <w:spacing w:after="80"/>
        <w:ind w:left="360" w:hanging="360"/>
      </w:pPr>
      <w:r>
        <w:rPr>
          <w:b/>
        </w:rPr>
        <w:t xml:space="preserve">3. </w:t>
      </w:r>
      <w:r>
        <w:rPr>
          <w:b/>
        </w:rPr>
        <w:t>Owner Portal</w:t>
      </w:r>
      <w:r>
        <w:t xml:space="preserve"> for dashboard insights and remittance reports.</w:t>
      </w:r>
    </w:p>
    <w:p>
      <w:pPr>
        <w:spacing w:after="120"/>
      </w:pPr>
    </w:p>
    <w:p>
      <w:pPr>
        <w:spacing w:before="240" w:after="240"/>
        <w:pBdr>
          <w:bottom w:val="single" w:sz="6" w:space="1" w:color="CCCCCC"/>
        </w:pBdr>
      </w:pPr>
    </w:p>
    <w:p>
      <w:pPr>
        <w:spacing w:after="120"/>
      </w:pPr>
    </w:p>
    <w:p>
      <w:pPr>
        <w:spacing w:before="320" w:after="160"/>
      </w:pPr>
      <w:r>
        <w:rPr>
          <w:b/>
          <w:color w:val="2563EB"/>
          <w:sz w:val="30"/>
        </w:rPr>
        <w:t>2. Core Package &amp; MVP Scope</w:t>
      </w:r>
    </w:p>
    <w:p>
      <w:pPr>
        <w:spacing w:after="160" w:line="276" w:lineRule="auto"/>
      </w:pPr>
      <w:r>
        <w:t>The client will receive the full source code and setup for the MVP, which includes:</w:t>
      </w:r>
    </w:p>
    <w:p>
      <w:pPr>
        <w:pStyle w:val="ListBullet"/>
        <w:spacing w:after="60"/>
        <w:ind w:left="360"/>
      </w:pPr>
      <w:r>
        <w:rPr>
          <w:b/>
        </w:rPr>
        <w:t>Property &amp; Unit Management:</w:t>
      </w:r>
      <w:r>
        <w:t xml:space="preserve"> Track units, building details, and occupancy statuses.</w:t>
      </w:r>
    </w:p>
    <w:p>
      <w:pPr>
        <w:pStyle w:val="ListBullet"/>
        <w:spacing w:after="60"/>
        <w:ind w:left="360"/>
      </w:pPr>
      <w:r>
        <w:rPr>
          <w:b/>
        </w:rPr>
        <w:t>Lease &amp; Tenant Management:</w:t>
      </w:r>
      <w:r>
        <w:t xml:space="preserve"> Digital lease tracking, move-in/out dates, and automated rent scheduling.</w:t>
      </w:r>
    </w:p>
    <w:p>
      <w:pPr>
        <w:pStyle w:val="ListBullet"/>
        <w:spacing w:after="60"/>
        <w:ind w:left="360"/>
      </w:pPr>
      <w:r>
        <w:rPr>
          <w:b/>
        </w:rPr>
        <w:t>Billing &amp; Invoices:</w:t>
      </w:r>
      <w:r>
        <w:t xml:space="preserve"> Automatic invoice generation, payment logging, and balance tracking.</w:t>
      </w:r>
    </w:p>
    <w:p>
      <w:pPr>
        <w:pStyle w:val="ListBullet"/>
        <w:spacing w:after="60"/>
        <w:ind w:left="360"/>
      </w:pPr>
      <w:r>
        <w:rPr>
          <w:b/>
        </w:rPr>
        <w:t>Tenant Portal:</w:t>
      </w:r>
      <w:r>
        <w:t xml:space="preserve"> Rent status updates, upcoming dues, PDF lease viewing, and maintenance ticket submissions.</w:t>
      </w:r>
    </w:p>
    <w:p>
      <w:pPr>
        <w:pStyle w:val="ListBullet"/>
        <w:spacing w:after="60"/>
        <w:ind w:left="360"/>
      </w:pPr>
      <w:r>
        <w:rPr>
          <w:b/>
        </w:rPr>
        <w:t>Owner Portal:</w:t>
      </w:r>
      <w:r>
        <w:t xml:space="preserve"> Payout/remittance tracking, expense logging, and YTD performance analytics (supporting multi-owner split percentages).</w:t>
      </w:r>
    </w:p>
    <w:p>
      <w:pPr>
        <w:pStyle w:val="ListBullet"/>
        <w:spacing w:after="60"/>
        <w:ind w:left="360"/>
      </w:pPr>
      <w:r>
        <w:rPr>
          <w:b/>
        </w:rPr>
        <w:t>Financial Reports:</w:t>
      </w:r>
      <w:r>
        <w:t xml:space="preserve"> Interactive occupancy analytics, collection efficiency, profit &amp; loss, and aging receivables.</w:t>
      </w:r>
    </w:p>
    <w:p>
      <w:pPr>
        <w:spacing w:after="120"/>
      </w:pPr>
    </w:p>
    <w:p>
      <w:pPr>
        <w:spacing w:before="240" w:after="240"/>
        <w:pBdr>
          <w:bottom w:val="single" w:sz="6" w:space="1" w:color="CCCCCC"/>
        </w:pBdr>
      </w:pPr>
    </w:p>
    <w:p>
      <w:pPr>
        <w:spacing w:after="120"/>
      </w:pPr>
    </w:p>
    <w:p>
      <w:pPr>
        <w:spacing w:before="320" w:after="160"/>
      </w:pPr>
      <w:r>
        <w:rPr>
          <w:b/>
          <w:color w:val="2563EB"/>
          <w:sz w:val="30"/>
        </w:rPr>
        <w:t>3. Timeline &amp; Customizations Policy</w:t>
      </w:r>
    </w:p>
    <w:p>
      <w:pPr>
        <w:spacing w:after="160" w:line="276" w:lineRule="auto"/>
      </w:pPr>
      <w:r>
        <w:t>We understand that every real estate business has unique workflows. Therefore, we offer a flexible customization policy:</w:t>
      </w:r>
    </w:p>
    <w:p>
      <w:pPr>
        <w:spacing w:after="120"/>
      </w:pPr>
    </w:p>
    <w:p>
      <w:pPr>
        <w:pStyle w:val="ListBullet"/>
        <w:spacing w:after="60"/>
        <w:ind w:left="360"/>
      </w:pPr>
      <w:r>
        <w:rPr>
          <w:b/>
        </w:rPr>
        <w:t>Included Customizations (Free of Charge):</w:t>
      </w:r>
    </w:p>
    <w:p>
      <w:pPr>
        <w:pStyle w:val="ListBullet"/>
        <w:spacing w:after="60"/>
        <w:ind w:left="720"/>
      </w:pPr>
      <w:r>
        <w:t xml:space="preserve">Any added customizations, styling changes, or feature adjustments requested by the client are </w:t>
      </w:r>
      <w:r>
        <w:rPr>
          <w:b/>
        </w:rPr>
        <w:t>free of charge</w:t>
      </w:r>
      <w:r>
        <w:t xml:space="preserve">, provided the total development effort does not exceed </w:t>
      </w:r>
      <w:r>
        <w:rPr>
          <w:b/>
        </w:rPr>
        <w:t>1 month</w:t>
      </w:r>
      <w:r>
        <w:t xml:space="preserve"> (defined as 5 days a week, 8 hours a day, totaling </w:t>
      </w:r>
      <w:r>
        <w:rPr>
          <w:b/>
        </w:rPr>
        <w:t>20 working days / 160 hours</w:t>
      </w:r>
      <w:r>
        <w:t>).</w:t>
      </w:r>
    </w:p>
    <w:p>
      <w:pPr>
        <w:pStyle w:val="ListBullet"/>
        <w:spacing w:after="60"/>
        <w:ind w:left="360"/>
      </w:pPr>
      <w:r>
        <w:rPr>
          <w:b/>
        </w:rPr>
        <w:t>Additional Work / Out-of-Scope Rate:</w:t>
      </w:r>
    </w:p>
    <w:p>
      <w:pPr>
        <w:pStyle w:val="ListBullet"/>
        <w:spacing w:after="60"/>
        <w:ind w:left="720"/>
      </w:pPr>
      <w:r>
        <w:t xml:space="preserve">If the requested customizations exceed the initial 1-month threshold, additional work will be billed at a rate of </w:t>
      </w:r>
      <w:r>
        <w:rPr>
          <w:b/>
        </w:rPr>
        <w:t>₱10,000 PHP per working day</w:t>
      </w:r>
      <w:r>
        <w:t xml:space="preserve"> (or prorated for partial days).</w:t>
      </w:r>
    </w:p>
    <w:p>
      <w:pPr>
        <w:pStyle w:val="ListBullet"/>
        <w:spacing w:after="60"/>
        <w:ind w:left="720"/>
      </w:pPr>
      <w:r>
        <w:t>Any request that extends the timeline will be scoped, estimated, and approved by the client in writing before work begins.</w:t>
      </w:r>
    </w:p>
    <w:p>
      <w:pPr>
        <w:spacing w:after="120"/>
      </w:pPr>
    </w:p>
    <w:p>
      <w:pPr>
        <w:spacing w:before="240" w:after="240"/>
        <w:pBdr>
          <w:bottom w:val="single" w:sz="6" w:space="1" w:color="CCCCCC"/>
        </w:pBdr>
      </w:pPr>
    </w:p>
    <w:p>
      <w:pPr>
        <w:spacing w:after="120"/>
      </w:pPr>
    </w:p>
    <w:p>
      <w:pPr>
        <w:spacing w:before="320" w:after="160"/>
      </w:pPr>
      <w:r>
        <w:rPr>
          <w:b/>
          <w:color w:val="2563EB"/>
          <w:sz w:val="30"/>
        </w:rPr>
        <w:t>4. Hosting &amp; Deployment Options</w:t>
      </w:r>
    </w:p>
    <w:p>
      <w:pPr>
        <w:spacing w:after="160" w:line="276" w:lineRule="auto"/>
      </w:pPr>
      <w:r>
        <w:t>The client has two choices for deployment, hosting, and long-term maintenance:</w:t>
      </w:r>
    </w:p>
    <w:p>
      <w:pPr>
        <w:spacing w:after="120"/>
      </w:pPr>
    </w:p>
    <w:p>
      <w:pPr>
        <w:spacing w:before="240" w:after="120"/>
      </w:pPr>
      <w:r>
        <w:rPr>
          <w:b/>
          <w:color w:val="3B82F6"/>
          <w:sz w:val="24"/>
        </w:rPr>
        <w:t>🌐 Option A: Client-Managed Hosting (Self-Hosted)</w:t>
      </w:r>
    </w:p>
    <w:p>
      <w:pPr>
        <w:spacing w:after="160" w:line="276" w:lineRule="auto"/>
      </w:pPr>
      <w:r>
        <w:rPr>
          <w:i/>
        </w:rPr>
        <w:t>The client owns the server accounts and has full control over their infrastructure.</w:t>
      </w:r>
    </w:p>
    <w:p>
      <w:pPr>
        <w:pStyle w:val="ListBullet"/>
        <w:spacing w:after="60"/>
        <w:ind w:left="360"/>
      </w:pPr>
      <w:r>
        <w:rPr>
          <w:b/>
        </w:rPr>
        <w:t>Cost:</w:t>
      </w:r>
      <w:r>
        <w:t xml:space="preserve"> Client shoulders 100% of the deployment setup, server hosting, domain name, SSL certificates, and database costs.</w:t>
      </w:r>
    </w:p>
    <w:p>
      <w:pPr>
        <w:pStyle w:val="ListBullet"/>
        <w:spacing w:after="60"/>
        <w:ind w:left="360"/>
      </w:pPr>
      <w:r>
        <w:rPr>
          <w:b/>
        </w:rPr>
        <w:t>Setup Support:</w:t>
      </w:r>
      <w:r>
        <w:t xml:space="preserve"> The developer will deploy the software to the client’s chosen cloud provider (e.g., Laravel Cloud, AWS, DigitalOcean, or Hostinger) as part of the initial implementation.</w:t>
      </w:r>
    </w:p>
    <w:p>
      <w:pPr>
        <w:pStyle w:val="ListBullet"/>
        <w:spacing w:after="60"/>
        <w:ind w:left="360"/>
      </w:pPr>
      <w:r>
        <w:rPr>
          <w:b/>
        </w:rPr>
        <w:t>Maintenance:</w:t>
      </w:r>
      <w:r>
        <w:t xml:space="preserve"> The client is responsible for ongoing server security, backups, and server maintenance.</w:t>
      </w:r>
    </w:p>
    <w:p>
      <w:pPr>
        <w:spacing w:after="120"/>
      </w:pPr>
    </w:p>
    <w:p>
      <w:pPr>
        <w:spacing w:before="240" w:after="120"/>
      </w:pPr>
      <w:r>
        <w:rPr>
          <w:b/>
          <w:color w:val="3B82F6"/>
          <w:sz w:val="24"/>
        </w:rPr>
        <w:t>🛠️ Option B: Developer-Managed Hosting (SaaS/Managed Service)</w:t>
      </w:r>
    </w:p>
    <w:p>
      <w:pPr>
        <w:spacing w:after="160" w:line="276" w:lineRule="auto"/>
      </w:pPr>
      <w:r>
        <w:rPr>
          <w:i/>
        </w:rPr>
        <w:t>The developer hosts, manages, and maintains the application on behalf of the client.</w:t>
      </w:r>
    </w:p>
    <w:p>
      <w:pPr>
        <w:pStyle w:val="ListBullet"/>
        <w:spacing w:after="60"/>
        <w:ind w:left="360"/>
      </w:pPr>
      <w:r>
        <w:rPr>
          <w:b/>
        </w:rPr>
        <w:t>Cost:</w:t>
      </w:r>
      <w:r>
        <w:t xml:space="preserve"> The developer hosts the product under their own cloud accounts and sends the client a </w:t>
      </w:r>
      <w:r>
        <w:rPr>
          <w:b/>
        </w:rPr>
        <w:t>monthly consolidated invoice</w:t>
      </w:r>
      <w:r>
        <w:t xml:space="preserve"> covering hosting resources, domain upkeep, database backups, and basic maintenance.</w:t>
      </w:r>
    </w:p>
    <w:p>
      <w:pPr>
        <w:pStyle w:val="ListBullet"/>
        <w:spacing w:after="60"/>
        <w:ind w:left="360"/>
      </w:pPr>
      <w:r>
        <w:rPr>
          <w:b/>
        </w:rPr>
        <w:t>Security &amp; Backups:</w:t>
      </w:r>
      <w:r>
        <w:t xml:space="preserve"> Automatic daily backups, SSL updates, and server monitoring are managed entirely by the developer.</w:t>
      </w:r>
    </w:p>
    <w:p>
      <w:pPr>
        <w:pStyle w:val="ListBullet"/>
        <w:spacing w:after="60"/>
        <w:ind w:left="360"/>
      </w:pPr>
      <w:r>
        <w:rPr>
          <w:b/>
        </w:rPr>
        <w:t>Convenience:</w:t>
      </w:r>
      <w:r>
        <w:t xml:space="preserve"> Zero technical setup or server management required by the client.</w:t>
      </w:r>
    </w:p>
    <w:p>
      <w:pPr>
        <w:spacing w:after="120"/>
      </w:pPr>
    </w:p>
    <w:p>
      <w:pPr>
        <w:spacing w:before="240" w:after="240"/>
        <w:pBdr>
          <w:bottom w:val="single" w:sz="6" w:space="1" w:color="CCCCCC"/>
        </w:pBdr>
      </w:pPr>
    </w:p>
    <w:p>
      <w:pPr>
        <w:spacing w:after="120"/>
      </w:pPr>
    </w:p>
    <w:p>
      <w:pPr>
        <w:spacing w:before="320" w:after="160"/>
      </w:pPr>
      <w:r>
        <w:rPr>
          <w:b/>
          <w:color w:val="2563EB"/>
          <w:sz w:val="30"/>
        </w:rPr>
        <w:t>5. Investment &amp; Payment Terms</w:t>
      </w:r>
    </w:p>
    <w:p>
      <w:pPr>
        <w:spacing w:after="120"/>
      </w:pPr>
    </w:p>
    <w:tbl>
      <w:tblPr>
        <w:tblW w:type="auto" w:w="0"/>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80" w:type="dxa"/>
              <w:right w:w="180" w:type="dxa"/>
            </w:tcMar>
          </w:tcPr>
          <w:p>
            <w:pPr>
              <w:spacing w:after="0"/>
            </w:pPr>
            <w:r>
              <w:rPr>
                <w:b/>
                <w:color w:val="FFFFFF"/>
              </w:rPr>
              <w:t>Phase / Item</w:t>
            </w:r>
          </w:p>
        </w:tc>
        <w:tc>
          <w:tcPr>
            <w:tcW w:type="dxa" w:w="4608"/>
            <w:shd w:fill="1E3A8A"/>
            <w:tcMar>
              <w:top w:w="120" w:type="dxa"/>
              <w:bottom w:w="120" w:type="dxa"/>
              <w:left w:w="180" w:type="dxa"/>
              <w:right w:w="180" w:type="dxa"/>
            </w:tcMar>
          </w:tcPr>
          <w:p>
            <w:pPr>
              <w:spacing w:after="0"/>
            </w:pPr>
            <w:r>
              <w:rPr>
                <w:b/>
                <w:color w:val="FFFFFF"/>
              </w:rPr>
              <w:t>Deliverable</w:t>
            </w:r>
          </w:p>
        </w:tc>
        <w:tc>
          <w:tcPr>
            <w:tcW w:type="dxa" w:w="2160"/>
            <w:shd w:fill="1E3A8A"/>
            <w:tcMar>
              <w:top w:w="120" w:type="dxa"/>
              <w:bottom w:w="120" w:type="dxa"/>
              <w:left w:w="180" w:type="dxa"/>
              <w:right w:w="180" w:type="dxa"/>
            </w:tcMar>
          </w:tcPr>
          <w:p>
            <w:pPr>
              <w:spacing w:after="0"/>
            </w:pPr>
            <w:r>
              <w:rPr>
                <w:b/>
                <w:color w:val="FFFFFF"/>
              </w:rPr>
              <w:t>Cost (PHP)</w:t>
            </w:r>
          </w:p>
        </w:tc>
      </w:tr>
      <w:tr>
        <w:tc>
          <w:tcPr>
            <w:tcW w:type="dxa" w:w="2592"/>
            <w:shd w:fill="F3F4F6"/>
            <w:tcMar>
              <w:top w:w="100" w:type="dxa"/>
              <w:bottom w:w="100" w:type="dxa"/>
              <w:left w:w="150" w:type="dxa"/>
              <w:right w:w="150" w:type="dxa"/>
            </w:tcMar>
          </w:tcPr>
          <w:p>
            <w:pPr>
              <w:spacing w:after="0"/>
            </w:pPr>
            <w:r>
              <w:rPr>
                <w:b/>
              </w:rPr>
              <w:t>Base MVP License</w:t>
            </w:r>
          </w:p>
        </w:tc>
        <w:tc>
          <w:tcPr>
            <w:tcW w:type="dxa" w:w="4608"/>
            <w:shd w:fill="F3F4F6"/>
            <w:tcMar>
              <w:top w:w="100" w:type="dxa"/>
              <w:bottom w:w="100" w:type="dxa"/>
              <w:left w:w="150" w:type="dxa"/>
              <w:right w:w="150" w:type="dxa"/>
            </w:tcMar>
          </w:tcPr>
          <w:p>
            <w:pPr>
              <w:spacing w:after="0"/>
            </w:pPr>
            <w:r>
              <w:t>Complete source code access, database seeders, and standard deployment setup.</w:t>
            </w:r>
          </w:p>
        </w:tc>
        <w:tc>
          <w:tcPr>
            <w:tcW w:type="dxa" w:w="2160"/>
            <w:shd w:fill="F3F4F6"/>
            <w:tcMar>
              <w:top w:w="100" w:type="dxa"/>
              <w:bottom w:w="100" w:type="dxa"/>
              <w:left w:w="150" w:type="dxa"/>
              <w:right w:w="150" w:type="dxa"/>
            </w:tcMar>
          </w:tcPr>
          <w:p>
            <w:pPr>
              <w:spacing w:after="0"/>
            </w:pPr>
            <w:r>
              <w:rPr>
                <w:b/>
              </w:rPr>
              <w:t>₱200,000.00 PHP</w:t>
            </w:r>
          </w:p>
        </w:tc>
      </w:tr>
      <w:tr>
        <w:tc>
          <w:tcPr>
            <w:tcW w:type="dxa" w:w="2592"/>
            <w:shd w:fill="FFFFFF"/>
            <w:tcMar>
              <w:top w:w="100" w:type="dxa"/>
              <w:bottom w:w="100" w:type="dxa"/>
              <w:left w:w="150" w:type="dxa"/>
              <w:right w:w="150" w:type="dxa"/>
            </w:tcMar>
          </w:tcPr>
          <w:p>
            <w:pPr>
              <w:spacing w:after="0"/>
            </w:pPr>
            <w:r>
              <w:rPr>
                <w:b/>
              </w:rPr>
              <w:t>Initial Customizations</w:t>
            </w:r>
          </w:p>
        </w:tc>
        <w:tc>
          <w:tcPr>
            <w:tcW w:type="dxa" w:w="4608"/>
            <w:shd w:fill="FFFFFF"/>
            <w:tcMar>
              <w:top w:w="100" w:type="dxa"/>
              <w:bottom w:w="100" w:type="dxa"/>
              <w:left w:w="150" w:type="dxa"/>
              <w:right w:w="150" w:type="dxa"/>
            </w:tcMar>
          </w:tcPr>
          <w:p>
            <w:pPr>
              <w:spacing w:after="0"/>
            </w:pPr>
            <w:r>
              <w:t>Up to 1 month (20 working days) of tailor-made customizations.</w:t>
            </w:r>
          </w:p>
        </w:tc>
        <w:tc>
          <w:tcPr>
            <w:tcW w:type="dxa" w:w="2160"/>
            <w:shd w:fill="FFFFFF"/>
            <w:tcMar>
              <w:top w:w="100" w:type="dxa"/>
              <w:bottom w:w="100" w:type="dxa"/>
              <w:left w:w="150" w:type="dxa"/>
              <w:right w:w="150" w:type="dxa"/>
            </w:tcMar>
          </w:tcPr>
          <w:p>
            <w:pPr>
              <w:spacing w:after="0"/>
            </w:pPr>
            <w:r>
              <w:rPr>
                <w:b/>
              </w:rPr>
              <w:t>₱0.00 PHP</w:t>
            </w:r>
            <w:r>
              <w:t xml:space="preserve"> (Included)</w:t>
            </w:r>
          </w:p>
        </w:tc>
      </w:tr>
      <w:tr>
        <w:tc>
          <w:tcPr>
            <w:tcW w:type="dxa" w:w="2592"/>
            <w:shd w:fill="F3F4F6"/>
            <w:tcMar>
              <w:top w:w="100" w:type="dxa"/>
              <w:bottom w:w="100" w:type="dxa"/>
              <w:left w:w="150" w:type="dxa"/>
              <w:right w:w="150" w:type="dxa"/>
            </w:tcMar>
          </w:tcPr>
          <w:p>
            <w:pPr>
              <w:spacing w:after="0"/>
            </w:pPr>
            <w:r>
              <w:rPr>
                <w:b/>
              </w:rPr>
              <w:t>Extra Development</w:t>
            </w:r>
          </w:p>
        </w:tc>
        <w:tc>
          <w:tcPr>
            <w:tcW w:type="dxa" w:w="4608"/>
            <w:shd w:fill="F3F4F6"/>
            <w:tcMar>
              <w:top w:w="100" w:type="dxa"/>
              <w:bottom w:w="100" w:type="dxa"/>
              <w:left w:w="150" w:type="dxa"/>
              <w:right w:w="150" w:type="dxa"/>
            </w:tcMar>
          </w:tcPr>
          <w:p>
            <w:pPr>
              <w:spacing w:after="0"/>
            </w:pPr>
            <w:r>
              <w:t>Development work exceeding 1 month (if applicable).</w:t>
            </w:r>
          </w:p>
        </w:tc>
        <w:tc>
          <w:tcPr>
            <w:tcW w:type="dxa" w:w="2160"/>
            <w:shd w:fill="F3F4F6"/>
            <w:tcMar>
              <w:top w:w="100" w:type="dxa"/>
              <w:bottom w:w="100" w:type="dxa"/>
              <w:left w:w="150" w:type="dxa"/>
              <w:right w:w="150" w:type="dxa"/>
            </w:tcMar>
          </w:tcPr>
          <w:p>
            <w:pPr>
              <w:spacing w:after="0"/>
            </w:pPr>
            <w:r>
              <w:rPr>
                <w:b/>
              </w:rPr>
              <w:t>₱10,000.00 PHP / day</w:t>
            </w:r>
          </w:p>
        </w:tc>
      </w:tr>
      <w:tr>
        <w:tc>
          <w:tcPr>
            <w:tcW w:type="dxa" w:w="2592"/>
            <w:shd w:fill="FFFFFF"/>
            <w:tcMar>
              <w:top w:w="100" w:type="dxa"/>
              <w:bottom w:w="100" w:type="dxa"/>
              <w:left w:w="150" w:type="dxa"/>
              <w:right w:w="150" w:type="dxa"/>
            </w:tcMar>
          </w:tcPr>
          <w:p>
            <w:pPr>
              <w:spacing w:after="0"/>
            </w:pPr>
            <w:r>
              <w:rPr>
                <w:b/>
              </w:rPr>
              <w:t>Hosting &amp; Cloud Costs</w:t>
            </w:r>
          </w:p>
        </w:tc>
        <w:tc>
          <w:tcPr>
            <w:tcW w:type="dxa" w:w="4608"/>
            <w:shd w:fill="FFFFFF"/>
            <w:tcMar>
              <w:top w:w="100" w:type="dxa"/>
              <w:bottom w:w="100" w:type="dxa"/>
              <w:left w:w="150" w:type="dxa"/>
              <w:right w:w="150" w:type="dxa"/>
            </w:tcMar>
          </w:tcPr>
          <w:p>
            <w:pPr>
              <w:spacing w:after="0"/>
            </w:pPr>
            <w:r>
              <w:t>Monthly server, domain, and database resources.</w:t>
            </w:r>
          </w:p>
        </w:tc>
        <w:tc>
          <w:tcPr>
            <w:tcW w:type="dxa" w:w="2160"/>
            <w:shd w:fill="FFFFFF"/>
            <w:tcMar>
              <w:top w:w="100" w:type="dxa"/>
              <w:bottom w:w="100" w:type="dxa"/>
              <w:left w:w="150" w:type="dxa"/>
              <w:right w:w="150" w:type="dxa"/>
            </w:tcMar>
          </w:tcPr>
          <w:p>
            <w:pPr>
              <w:spacing w:after="0"/>
            </w:pPr>
            <w:r>
              <w:t>Subject to usage (Invoice/Option A)</w:t>
            </w:r>
          </w:p>
        </w:tc>
      </w:tr>
    </w:tbl>
    <w:p>
      <w:pPr>
        <w:spacing w:before="160"/>
      </w:pPr>
    </w:p>
    <w:p>
      <w:pPr>
        <w:spacing w:before="240" w:after="120"/>
      </w:pPr>
      <w:r>
        <w:rPr>
          <w:b/>
          <w:color w:val="3B82F6"/>
          <w:sz w:val="24"/>
        </w:rPr>
        <w:t>Recommended Payment Milestones:</w:t>
      </w:r>
    </w:p>
    <w:p>
      <w:pPr>
        <w:pStyle w:val="ListBullet"/>
        <w:spacing w:after="60"/>
        <w:ind w:left="360"/>
      </w:pPr>
      <w:r>
        <w:rPr>
          <w:b/>
        </w:rPr>
        <w:t>30% Kickoff Payment (₱60,000.00 PHP):</w:t>
      </w:r>
      <w:r>
        <w:t xml:space="preserve"> Required upon signing this proposal to initiate project kick-off, customization scoping, and local development setup.</w:t>
      </w:r>
    </w:p>
    <w:p>
      <w:pPr>
        <w:pStyle w:val="ListBullet"/>
        <w:spacing w:after="60"/>
        <w:ind w:left="360"/>
      </w:pPr>
      <w:r>
        <w:rPr>
          <w:b/>
        </w:rPr>
        <w:t>50% Final Delivery Payment (₱100,000.00 PHP + any extra daily rates):</w:t>
      </w:r>
      <w:r>
        <w:t xml:space="preserve"> Due upon completion of development, feature customizations, and client UAT (User Acceptance Testing) on staging.</w:t>
      </w:r>
    </w:p>
    <w:p>
      <w:pPr>
        <w:pStyle w:val="ListBullet"/>
        <w:spacing w:after="60"/>
        <w:ind w:left="360"/>
      </w:pPr>
      <w:r>
        <w:rPr>
          <w:b/>
        </w:rPr>
        <w:t>20% Deployment Confirmation Payment (₱40,000.00 PHP):</w:t>
      </w:r>
      <w:r>
        <w:t xml:space="preserve"> Due upon successful production deployment, live domain pointing, and final code/credentials transfer.</w:t>
      </w:r>
    </w:p>
    <w:p>
      <w:pPr>
        <w:spacing w:after="120"/>
      </w:pPr>
    </w:p>
    <w:p>
      <w:pPr>
        <w:spacing w:before="240" w:after="240"/>
        <w:pBdr>
          <w:bottom w:val="single" w:sz="6" w:space="1" w:color="CCCCCC"/>
        </w:pBdr>
      </w:pPr>
    </w:p>
    <w:p>
      <w:pPr>
        <w:spacing w:after="120"/>
      </w:pPr>
    </w:p>
    <w:p>
      <w:pPr>
        <w:spacing w:before="320" w:after="160"/>
      </w:pPr>
      <w:r>
        <w:rPr>
          <w:b/>
          <w:color w:val="2563EB"/>
          <w:sz w:val="30"/>
        </w:rPr>
        <w:t>6. Recommended Additions for Consideration</w:t>
      </w:r>
    </w:p>
    <w:p>
      <w:pPr>
        <w:spacing w:after="160" w:line="276" w:lineRule="auto"/>
      </w:pPr>
      <w:r>
        <w:t>To protect both parties, the developer suggests adding the following details before signing the final contract:</w:t>
      </w:r>
    </w:p>
    <w:p>
      <w:pPr>
        <w:spacing w:after="80"/>
        <w:ind w:left="360" w:hanging="360"/>
      </w:pPr>
      <w:r>
        <w:rPr>
          <w:b/>
        </w:rPr>
        <w:t xml:space="preserve">1. </w:t>
      </w:r>
      <w:r>
        <w:rPr>
          <w:b/>
        </w:rPr>
        <w:t>Warranty Period:</w:t>
      </w:r>
      <w:r>
        <w:t xml:space="preserve"> Includes </w:t>
      </w:r>
      <w:r>
        <w:rPr>
          <w:b/>
        </w:rPr>
        <w:t>30 days of free bug-fixing support</w:t>
      </w:r>
      <w:r>
        <w:t xml:space="preserve"> after deployment to resolve any issues related to the core MVP code.</w:t>
      </w:r>
    </w:p>
    <w:p>
      <w:pPr>
        <w:spacing w:after="80"/>
        <w:ind w:left="360" w:hanging="360"/>
      </w:pPr>
      <w:r>
        <w:rPr>
          <w:b/>
        </w:rPr>
        <w:t xml:space="preserve">2. </w:t>
      </w:r>
      <w:r>
        <w:rPr>
          <w:b/>
        </w:rPr>
        <w:t>Third-Party API Fees:</w:t>
      </w:r>
      <w:r>
        <w:t xml:space="preserve"> Third-party costs (such as SMS gateways for tenant notifications, email delivery services like Mailgun, or payment gateway transactions like PayMongo/GCash) are paid directly by the client.</w:t>
      </w:r>
    </w:p>
    <w:p>
      <w:pPr>
        <w:spacing w:after="80"/>
        <w:ind w:left="360" w:hanging="360"/>
      </w:pPr>
      <w:r>
        <w:rPr>
          <w:b/>
        </w:rPr>
        <w:t xml:space="preserve">3. </w:t>
      </w:r>
      <w:r>
        <w:rPr>
          <w:b/>
        </w:rPr>
        <w:t>Intellectual Property Rights:</w:t>
      </w:r>
    </w:p>
    <w:p>
      <w:pPr>
        <w:pStyle w:val="ListBullet"/>
        <w:spacing w:after="60"/>
        <w:ind w:left="720"/>
      </w:pPr>
      <w:r>
        <w:t>The developer retains the right to sell the base MVP template to other clients.</w:t>
      </w:r>
    </w:p>
    <w:p>
      <w:pPr>
        <w:pStyle w:val="ListBullet"/>
        <w:spacing w:after="60"/>
        <w:ind w:left="720"/>
      </w:pPr>
      <w:r>
        <w:t>The client receives a non-exclusive, perpetual license to run, modify, and build upon the source code for their business. (Or a complete buyout can be negotiated separately).</w:t>
      </w:r>
    </w:p>
    <w:p>
      <w:pPr>
        <w:spacing w:after="80"/>
        <w:ind w:left="360" w:hanging="360"/>
      </w:pPr>
      <w:r>
        <w:rPr>
          <w:b/>
        </w:rPr>
        <w:t xml:space="preserve">4. </w:t>
      </w:r>
      <w:r>
        <w:rPr>
          <w:b/>
        </w:rPr>
        <w:t>Data Privacy compliance (NPC / Data Privacy Act of 2012):</w:t>
      </w:r>
      <w:r>
        <w:t xml:space="preserve"> Since the app stores tenant and landlord contact details, rental agreements, and payment history, the host agrees to implement standard encryption, secure SSL, and access control.</w:t>
      </w:r>
    </w:p>
    <w:p>
      <w:pPr>
        <w:spacing w:after="80"/>
        <w:ind w:left="360" w:hanging="360"/>
      </w:pPr>
      <w:r>
        <w:rPr>
          <w:b/>
        </w:rPr>
        <w:t xml:space="preserve">5. </w:t>
      </w:r>
      <w:r>
        <w:rPr>
          <w:b/>
        </w:rPr>
        <w:t>Dispute Resolution &amp; Governing Law:</w:t>
      </w:r>
      <w:r>
        <w:t xml:space="preserve"> In the event of any disagreement or dispute arising from this project, both parties agree to first attempt to resolve it through amicable, good-faith negotiations within fifteen (15) business days. If unresolved, the dispute shall be submitted to mediation or arbitration under Philippine law, with the courts of the mutually agreed city holding exclusive jurisdiction.</w:t>
      </w:r>
    </w:p>
    <w:p>
      <w:pPr>
        <w:spacing w:after="80"/>
        <w:ind w:left="360" w:hanging="360"/>
      </w:pPr>
      <w:r>
        <w:rPr>
          <w:b/>
        </w:rPr>
        <w:t xml:space="preserve">6. </w:t>
      </w:r>
      <w:r>
        <w:rPr>
          <w:b/>
        </w:rPr>
        <w:t>Refund Policy for Kickoff Payment:</w:t>
      </w:r>
      <w:r>
        <w:t xml:space="preserve"> The 30% kickoff payment is strictly non-refundable once work has officially commenced (e.g., scoping, codebase initialization, or customization planning). This covers the developer's initial allocation of hours and reservation of scheduling. A full or partial refund of the kickoff payment may only be initiated if the developer defaults on initiating the project or fails to deliver the core MVP code.</w:t>
      </w:r>
    </w:p>
    <w:p>
      <w:pPr>
        <w:spacing w:after="80"/>
        <w:ind w:left="360" w:hanging="360"/>
      </w:pPr>
      <w:r>
        <w:rPr>
          <w:b/>
        </w:rPr>
        <w:t xml:space="preserve">7. </w:t>
      </w:r>
      <w:r>
        <w:rPr>
          <w:b/>
        </w:rPr>
        <w:t>Source Code &amp; Credentials Release:</w:t>
      </w:r>
      <w:r>
        <w:t xml:space="preserve"> To protect the developer, the final source code repository and administrative credentials to production servers will be handed over to the client </w:t>
      </w:r>
      <w:r>
        <w:rPr>
          <w:i/>
        </w:rPr>
        <w:t>only</w:t>
      </w:r>
      <w:r>
        <w:t xml:space="preserve"> after all payment milestones (including the final 20% payment and any extra customization day charges) have been paid in full and cleared.</w:t>
      </w:r>
    </w:p>
    <w:p>
      <w:pPr>
        <w:spacing w:after="80"/>
        <w:ind w:left="360" w:hanging="360"/>
      </w:pPr>
      <w:r>
        <w:rPr>
          <w:b/>
        </w:rPr>
        <w:t xml:space="preserve">8. </w:t>
      </w:r>
      <w:r>
        <w:rPr>
          <w:b/>
        </w:rPr>
        <w:t>Limitation of Liability:</w:t>
      </w:r>
      <w:r>
        <w:t xml:space="preserve"> The developer is not liable for any loss of revenue, business interruptions, data breaches, or data loss occurring during or after the implementation of this software. The developer's maximum cumulative liability under any circumstance is capped at the total amount paid by the client for this project.</w:t>
      </w:r>
    </w:p>
    <w:p>
      <w:pPr>
        <w:spacing w:after="80"/>
        <w:ind w:left="360" w:hanging="360"/>
      </w:pPr>
      <w:r>
        <w:rPr>
          <w:b/>
        </w:rPr>
        <w:t xml:space="preserve">9. </w:t>
      </w:r>
      <w:r>
        <w:rPr>
          <w:b/>
        </w:rPr>
        <w:t>Client Cooperation &amp; Stagnation:</w:t>
      </w:r>
      <w:r>
        <w:t xml:space="preserve"> The client must provide requested feedback, server credentials, content, and approvals within five (5) business days of request. If the project is delayed or stalled by the client for more than fifteen (15) consecutive business days without prior notice, the developer reserves the right to pause the project, adjust timelines, or apply a reactivation fee.</w:t>
      </w:r>
    </w:p>
    <w:p>
      <w:pPr>
        <w:spacing w:after="120"/>
      </w:pPr>
    </w:p>
    <w:p>
      <w:pPr>
        <w:spacing w:before="240" w:after="240"/>
        <w:pBdr>
          <w:bottom w:val="single" w:sz="6" w:space="1" w:color="CCCCCC"/>
        </w:pBdr>
      </w:pPr>
    </w:p>
    <w:p>
      <w:pPr>
        <w:spacing w:after="120"/>
      </w:pPr>
    </w:p>
    <w:p>
      <w:pPr>
        <w:spacing w:before="320" w:after="160"/>
      </w:pPr>
      <w:r>
        <w:rPr>
          <w:b/>
          <w:color w:val="2563EB"/>
          <w:sz w:val="30"/>
        </w:rPr>
        <w:t>7. Sign-off &amp; Acceptance</w:t>
      </w:r>
    </w:p>
    <w:p>
      <w:pPr>
        <w:spacing w:after="120"/>
      </w:pPr>
    </w:p>
    <w:p>
      <w:pPr>
        <w:spacing w:after="160" w:line="276" w:lineRule="auto"/>
      </w:pPr>
      <w:r>
        <w:t>By signing below, the client and the developer agree to the terms, pricing, milestones, and policies outlined in this proposal.</w:t>
      </w:r>
    </w:p>
    <w:p>
      <w:pPr>
        <w:spacing w:after="120"/>
      </w:pPr>
    </w:p>
    <w:tbl>
      <w:tblPr>
        <w:tblW w:type="auto" w:w="0"/>
        <w:tblLayout w:type="fixed"/>
        <w:tblLook w:firstColumn="1" w:firstRow="1" w:lastColumn="0" w:lastRow="0" w:noHBand="0" w:noVBand="1" w:val="04A0"/>
      </w:tblPr>
      <w:tblGrid>
        <w:gridCol w:w="4680"/>
        <w:gridCol w:w="4680"/>
      </w:tblGrid>
      <w:tr>
        <w:tc>
          <w:tcPr>
            <w:tcW w:type="dxa" w:w="4680"/>
            <w:shd w:fill="1E3A8A"/>
            <w:tcMar>
              <w:top w:w="120" w:type="dxa"/>
              <w:bottom w:w="120" w:type="dxa"/>
              <w:left w:w="180" w:type="dxa"/>
              <w:right w:w="180" w:type="dxa"/>
            </w:tcMar>
          </w:tcPr>
          <w:p>
            <w:pPr>
              <w:spacing w:after="0"/>
            </w:pPr>
            <w:r>
              <w:rPr>
                <w:b/>
                <w:color w:val="FFFFFF"/>
              </w:rPr>
              <w:t>**For the Client:**</w:t>
            </w:r>
          </w:p>
        </w:tc>
        <w:tc>
          <w:tcPr>
            <w:tcW w:type="dxa" w:w="4680"/>
            <w:shd w:fill="1E3A8A"/>
            <w:tcMar>
              <w:top w:w="120" w:type="dxa"/>
              <w:bottom w:w="120" w:type="dxa"/>
              <w:left w:w="180" w:type="dxa"/>
              <w:right w:w="180" w:type="dxa"/>
            </w:tcMar>
          </w:tcPr>
          <w:p>
            <w:pPr>
              <w:spacing w:after="0"/>
            </w:pPr>
            <w:r>
              <w:rPr>
                <w:b/>
                <w:color w:val="FFFFFF"/>
              </w:rPr>
              <w:t>**For the Developer:**</w:t>
            </w:r>
          </w:p>
        </w:tc>
      </w:tr>
      <w:tr>
        <w:tc>
          <w:tcPr>
            <w:tcW w:type="dxa" w:w="4680"/>
            <w:shd w:fill="F3F4F6"/>
            <w:tcMar>
              <w:top w:w="100" w:type="dxa"/>
              <w:bottom w:w="100" w:type="dxa"/>
              <w:left w:w="150" w:type="dxa"/>
              <w:right w:w="150" w:type="dxa"/>
            </w:tcMar>
          </w:tcPr>
          <w:p>
            <w:pPr>
              <w:spacing w:after="0"/>
            </w:pPr>
            <w:r>
              <w:t>Signature: _______________________</w:t>
            </w:r>
          </w:p>
        </w:tc>
        <w:tc>
          <w:tcPr>
            <w:tcW w:type="dxa" w:w="4680"/>
            <w:shd w:fill="F3F4F6"/>
            <w:tcMar>
              <w:top w:w="100" w:type="dxa"/>
              <w:bottom w:w="100" w:type="dxa"/>
              <w:left w:w="150" w:type="dxa"/>
              <w:right w:w="150" w:type="dxa"/>
            </w:tcMar>
          </w:tcPr>
          <w:p>
            <w:pPr>
              <w:spacing w:after="0"/>
            </w:pPr>
            <w:r>
              <w:t>Signature: _______________________</w:t>
            </w:r>
          </w:p>
        </w:tc>
      </w:tr>
      <w:tr>
        <w:tc>
          <w:tcPr>
            <w:tcW w:type="dxa" w:w="4680"/>
            <w:shd w:fill="FFFFFF"/>
            <w:tcMar>
              <w:top w:w="100" w:type="dxa"/>
              <w:bottom w:w="100" w:type="dxa"/>
              <w:left w:w="150" w:type="dxa"/>
              <w:right w:w="150" w:type="dxa"/>
            </w:tcMar>
          </w:tcPr>
          <w:p>
            <w:pPr>
              <w:spacing w:after="0"/>
            </w:pPr>
            <w:r>
              <w:t>Name: __________________________</w:t>
            </w:r>
          </w:p>
        </w:tc>
        <w:tc>
          <w:tcPr>
            <w:tcW w:type="dxa" w:w="4680"/>
            <w:shd w:fill="FFFFFF"/>
            <w:tcMar>
              <w:top w:w="100" w:type="dxa"/>
              <w:bottom w:w="100" w:type="dxa"/>
              <w:left w:w="150" w:type="dxa"/>
              <w:right w:w="150" w:type="dxa"/>
            </w:tcMar>
          </w:tcPr>
          <w:p>
            <w:pPr>
              <w:spacing w:after="0"/>
            </w:pPr>
            <w:r>
              <w:t>Name: __________________________</w:t>
            </w:r>
          </w:p>
        </w:tc>
      </w:tr>
      <w:tr>
        <w:tc>
          <w:tcPr>
            <w:tcW w:type="dxa" w:w="4680"/>
            <w:shd w:fill="F3F4F6"/>
            <w:tcMar>
              <w:top w:w="100" w:type="dxa"/>
              <w:bottom w:w="100" w:type="dxa"/>
              <w:left w:w="150" w:type="dxa"/>
              <w:right w:w="150" w:type="dxa"/>
            </w:tcMar>
          </w:tcPr>
          <w:p>
            <w:pPr>
              <w:spacing w:after="0"/>
            </w:pPr>
            <w:r>
              <w:t>Title: ___________________________</w:t>
            </w:r>
          </w:p>
        </w:tc>
        <w:tc>
          <w:tcPr>
            <w:tcW w:type="dxa" w:w="4680"/>
            <w:shd w:fill="F3F4F6"/>
            <w:tcMar>
              <w:top w:w="100" w:type="dxa"/>
              <w:bottom w:w="100" w:type="dxa"/>
              <w:left w:w="150" w:type="dxa"/>
              <w:right w:w="150" w:type="dxa"/>
            </w:tcMar>
          </w:tcPr>
          <w:p>
            <w:pPr>
              <w:spacing w:after="0"/>
            </w:pPr>
            <w:r>
              <w:t>Title: Developer / System Architect</w:t>
            </w:r>
          </w:p>
        </w:tc>
      </w:tr>
      <w:tr>
        <w:tc>
          <w:tcPr>
            <w:tcW w:type="dxa" w:w="4680"/>
            <w:shd w:fill="FFFFFF"/>
            <w:tcMar>
              <w:top w:w="100" w:type="dxa"/>
              <w:bottom w:w="100" w:type="dxa"/>
              <w:left w:w="150" w:type="dxa"/>
              <w:right w:w="150" w:type="dxa"/>
            </w:tcMar>
          </w:tcPr>
          <w:p>
            <w:pPr>
              <w:spacing w:after="0"/>
            </w:pPr>
            <w:r>
              <w:t>Date: ___________________________</w:t>
            </w:r>
          </w:p>
        </w:tc>
        <w:tc>
          <w:tcPr>
            <w:tcW w:type="dxa" w:w="4680"/>
            <w:shd w:fill="FFFFFF"/>
            <w:tcMar>
              <w:top w:w="100" w:type="dxa"/>
              <w:bottom w:w="100" w:type="dxa"/>
              <w:left w:w="150" w:type="dxa"/>
              <w:right w:w="150" w:type="dxa"/>
            </w:tcMar>
          </w:tcPr>
          <w:p>
            <w:pPr>
              <w:spacing w:after="0"/>
            </w:pPr>
            <w:r>
              <w:t>Date: ___________________________</w:t>
            </w:r>
          </w:p>
        </w:tc>
      </w:tr>
    </w:tbl>
    <w:p>
      <w:pPr>
        <w:spacing w:before="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