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8"/>
        </w:rPr>
        <w:t>GRAXELLA</w:t>
      </w:r>
    </w:p>
    <w:p>
      <w:pPr>
        <w:jc w:val="center"/>
      </w:pPr>
      <w:r>
        <w:rPr>
          <w:b/>
          <w:i w:val="0"/>
          <w:color w:val="14805E"/>
          <w:sz w:val="32"/>
        </w:rPr>
        <w:t>Project Charter — The Evidence Loop</w:t>
      </w:r>
    </w:p>
    <w:p>
      <w:pPr>
        <w:jc w:val="center"/>
      </w:pPr>
      <w:r>
        <w:rPr>
          <w:b w:val="0"/>
          <w:i/>
          <w:color w:val="5C6A63"/>
          <w:sz w:val="22"/>
        </w:rPr>
        <w:t>Reliable AI agents at enterprise scale: a runtime where reliability compounds with volume, and every behavior change ships with citations.</w:t>
      </w:r>
    </w:p>
    <w:p/>
    <w:tbl>
      <w:tblPr>
        <w:tblStyle w:val="TableGrid"/>
        <w:tblW w:type="auto" w:w="0"/>
        <w:jc w:val="center"/>
        <w:tblLayout w:type="fixed"/>
        <w:tblLook w:firstColumn="1" w:firstRow="1" w:lastColumn="0" w:lastRow="0" w:noHBand="0" w:noVBand="1" w:val="04A0"/>
      </w:tblPr>
      <w:tblGrid>
        <w:gridCol w:w="4320"/>
        <w:gridCol w:w="4320"/>
      </w:tblGrid>
      <w:tr>
        <w:tc>
          <w:tcPr>
            <w:tcW w:type="dxa" w:w="2592"/>
          </w:tcPr>
          <w:p>
            <w:pPr>
              <w:spacing w:after="40"/>
            </w:pPr>
            <w:r/>
            <w:r>
              <w:rPr>
                <w:rFonts w:ascii="Calibri" w:hAnsi="Calibri"/>
                <w:sz w:val="19"/>
              </w:rPr>
              <w:t>Document</w:t>
            </w:r>
          </w:p>
        </w:tc>
        <w:tc>
          <w:tcPr>
            <w:tcW w:type="dxa" w:w="6624"/>
          </w:tcPr>
          <w:p>
            <w:pPr>
              <w:spacing w:after="40"/>
            </w:pPr>
            <w:r/>
            <w:r>
              <w:rPr>
                <w:rFonts w:ascii="Calibri" w:hAnsi="Calibri"/>
                <w:sz w:val="19"/>
              </w:rPr>
              <w:t>Graxella Project Charter</w:t>
            </w:r>
          </w:p>
        </w:tc>
      </w:tr>
      <w:tr>
        <w:tc>
          <w:tcPr>
            <w:tcW w:type="dxa" w:w="2592"/>
          </w:tcPr>
          <w:p>
            <w:pPr>
              <w:spacing w:after="40"/>
            </w:pPr>
            <w:r/>
            <w:r>
              <w:rPr>
                <w:rFonts w:ascii="Calibri" w:hAnsi="Calibri"/>
                <w:sz w:val="19"/>
              </w:rPr>
              <w:t>Version / Status</w:t>
            </w:r>
          </w:p>
        </w:tc>
        <w:tc>
          <w:tcPr>
            <w:tcW w:type="dxa" w:w="6624"/>
          </w:tcPr>
          <w:p>
            <w:pPr>
              <w:spacing w:after="40"/>
            </w:pPr>
            <w:r/>
            <w:r>
              <w:rPr>
                <w:rFonts w:ascii="Calibri" w:hAnsi="Calibri"/>
                <w:sz w:val="19"/>
              </w:rPr>
              <w:t>v1.0 (Draft) — living reference; re-issue on phase completion</w:t>
            </w:r>
          </w:p>
        </w:tc>
      </w:tr>
      <w:tr>
        <w:tc>
          <w:tcPr>
            <w:tcW w:type="dxa" w:w="2592"/>
          </w:tcPr>
          <w:p>
            <w:pPr>
              <w:spacing w:after="40"/>
            </w:pPr>
            <w:r/>
            <w:r>
              <w:rPr>
                <w:rFonts w:ascii="Calibri" w:hAnsi="Calibri"/>
                <w:sz w:val="19"/>
              </w:rPr>
              <w:t>Date</w:t>
            </w:r>
          </w:p>
        </w:tc>
        <w:tc>
          <w:tcPr>
            <w:tcW w:type="dxa" w:w="6624"/>
          </w:tcPr>
          <w:p>
            <w:pPr>
              <w:spacing w:after="40"/>
            </w:pPr>
            <w:r/>
            <w:r>
              <w:rPr>
                <w:rFonts w:ascii="Calibri" w:hAnsi="Calibri"/>
                <w:sz w:val="19"/>
              </w:rPr>
              <w:t>17 August 2026</w:t>
            </w:r>
          </w:p>
        </w:tc>
      </w:tr>
      <w:tr>
        <w:tc>
          <w:tcPr>
            <w:tcW w:type="dxa" w:w="2592"/>
          </w:tcPr>
          <w:p>
            <w:pPr>
              <w:spacing w:after="40"/>
            </w:pPr>
            <w:r/>
            <w:r>
              <w:rPr>
                <w:rFonts w:ascii="Calibri" w:hAnsi="Calibri"/>
                <w:sz w:val="19"/>
              </w:rPr>
              <w:t>Program scope</w:t>
            </w:r>
          </w:p>
        </w:tc>
        <w:tc>
          <w:tcPr>
            <w:tcW w:type="dxa" w:w="6624"/>
          </w:tcPr>
          <w:p>
            <w:pPr>
              <w:spacing w:after="40"/>
            </w:pPr>
            <w:r/>
            <w:r>
              <w:rPr>
                <w:rFonts w:ascii="Calibri" w:hAnsi="Calibri"/>
                <w:sz w:val="19"/>
              </w:rPr>
              <w:t>graxella (umbrella) · mnema · agent2society · axon (B8/B10 tool fabric)</w:t>
            </w:r>
          </w:p>
        </w:tc>
      </w:tr>
      <w:tr>
        <w:tc>
          <w:tcPr>
            <w:tcW w:type="dxa" w:w="2592"/>
          </w:tcPr>
          <w:p>
            <w:pPr>
              <w:spacing w:after="40"/>
            </w:pPr>
            <w:r/>
            <w:r>
              <w:rPr>
                <w:rFonts w:ascii="Calibri" w:hAnsi="Calibri"/>
                <w:sz w:val="19"/>
              </w:rPr>
              <w:t>Companion documents</w:t>
            </w:r>
          </w:p>
        </w:tc>
        <w:tc>
          <w:tcPr>
            <w:tcW w:type="dxa" w:w="6624"/>
          </w:tcPr>
          <w:p>
            <w:pPr>
              <w:spacing w:after="40"/>
            </w:pPr>
            <w:r/>
            <w:r>
              <w:rPr>
                <w:rFonts w:ascii="Calibri" w:hAnsi="Calibri"/>
                <w:sz w:val="19"/>
              </w:rPr>
              <w:t>The Evidence Loop plan · Research Radar · MAST Coverage Scorecard · Flagship deck (PPTX)</w:t>
            </w:r>
          </w:p>
        </w:tc>
      </w:tr>
    </w:tbl>
    <w:p/>
    <w:p>
      <w:r>
        <w:br w:type="page"/>
      </w:r>
    </w:p>
    <w:p>
      <w:pPr>
        <w:pStyle w:val="Heading1"/>
      </w:pPr>
      <w:r>
        <w:t>1. Executive Summary</w:t>
      </w:r>
    </w:p>
    <w:p>
      <w:r>
        <w:rPr>
          <w:b w:val="0"/>
          <w:i w:val="0"/>
        </w:rPr>
        <w:t>Enterprises can build AI agents; they cannot yet trust them. Multi-step agent workflows fail in production because per-step errors compound, fixes live in unversioned prompt edits, audits cannot explain decisions, and — most fundamentally — nothing in today's stacks converts operational volume into reliability. Month six of an agent deployment is exactly as fragile as week one.</w:t>
      </w:r>
    </w:p>
    <w:p>
      <w:r>
        <w:rPr>
          <w:b w:val="0"/>
          <w:i w:val="0"/>
        </w:rPr>
        <w:t>Graxella is an evidence-based reliability and governance layer — a control plane — that runs underneath the orchestration frameworks enterprises already use (LangGraph, LangChain, CrewAI, AutoGen, MCP, A2A). It wraps existing agents in one line of code, records every decision and outcome as typed, immutable, cited evidence, mines that evidence offline for improvements, and promotes fixes through a Bayesian gate that requires proof before any behavior change ships. The runtime hot path stays deterministic and LLM-free; all learning happens at compile time.</w:t>
      </w:r>
    </w:p>
    <w:p>
      <w:r>
        <w:rPr>
          <w:b w:val="0"/>
          <w:i w:val="0"/>
        </w:rPr>
        <w:t>The one-sentence promise: agents that get more reliable the more you run them — with a citation for every change and a rollback for every mistake.</w:t>
      </w:r>
    </w:p>
    <w:p>
      <w:pPr>
        <w:pStyle w:val="Heading1"/>
      </w:pPr>
      <w:r>
        <w:t>2. Vision and Mission</w:t>
      </w:r>
    </w:p>
    <w:p>
      <w:r>
        <w:rPr>
          <w:b/>
          <w:color w:val="14805E"/>
        </w:rPr>
        <w:t xml:space="preserve">Vision — </w:t>
      </w:r>
      <w:r>
        <w:t>Agentic AI becomes dependable infrastructure: enterprises operate fleets of agents with the same confidence, audit discipline, and compounding improvement they expect from mature software systems.</w:t>
      </w:r>
    </w:p>
    <w:p>
      <w:r>
        <w:rPr>
          <w:b/>
          <w:color w:val="14805E"/>
        </w:rPr>
        <w:t xml:space="preserve">Mission — </w:t>
      </w:r>
      <w:r>
        <w:t>Build the substrate that makes any agent stack trustworthy — an 'optimistic orchestration' layer where the flow the developer wrote always runs exactly as written, while underneath, the system compresses what goes in, heals what breaks, routes without deliberation, remembers everything, and learns from every failure so nothing fails the same way twice.</w:t>
      </w:r>
    </w:p>
    <w:p>
      <w:r>
        <w:rPr>
          <w:b/>
          <w:color w:val="14805E"/>
        </w:rPr>
        <w:t xml:space="preserve">The four-pillar bar — </w:t>
      </w:r>
      <w:r>
        <w:t>Every design decision must clear complexity (scales to thousands of agents and domains without new rules), clarity (every number traceable to named evidence), optimization (self-calibrating from outcomes), and reliability (deterministic, O(1) governance, no LLM in any decision loop).</w:t>
      </w:r>
    </w:p>
    <w:p>
      <w:pPr>
        <w:pStyle w:val="Heading1"/>
      </w:pPr>
      <w:r>
        <w:t>3. The Problem We Are Solving</w:t>
      </w:r>
    </w:p>
    <w:p>
      <w:pPr>
        <w:pStyle w:val="Heading2"/>
      </w:pPr>
      <w:r>
        <w:t>3.1 The reliability wall</w:t>
      </w:r>
    </w:p>
    <w:p>
      <w:r>
        <w:rPr>
          <w:b w:val="0"/>
          <w:i w:val="0"/>
        </w:rPr>
        <w:t>Agent chains multiply per-step error: a 95%-reliable step compounds to roughly 60% success over a ten-step workflow; 90% per-step collapses to roughly 35%. Demos are one friendly step; production business processes are ten steps across systems that drift weekly. This is why the industry's agent programs stall in 'pilot purgatory'.</w:t>
      </w:r>
    </w:p>
    <w:p>
      <w:r>
        <w:rPr>
          <w:b w:val="0"/>
          <w:i w:val="0"/>
        </w:rPr>
        <w:t>This is now peer-reviewed fact, not anecdote. MAST (UC Berkeley, arXiv 2503.13657) analyzed 1,600+ annotated failure traces across seven frameworks and identified 14 failure modes in three clusters — system design issues (44.2% of failures), inter-agent misalignment (32.3%), and task verification (23.5%). Its headline conclusion is graxella's thesis: most failures stem from orchestration design, not model weakness. Bigger models do not fix this; better substrates do.</w:t>
      </w:r>
    </w:p>
    <w:p>
      <w:pPr>
        <w:pStyle w:val="Heading2"/>
      </w:pPr>
      <w:r>
        <w:t>3.2 The five value leaks</w:t>
      </w:r>
    </w:p>
    <w:p>
      <w:r>
        <w:rPr>
          <w:b w:val="0"/>
          <w:i w:val="0"/>
        </w:rPr>
        <w:t>Enterprises leak value at five specific points in every agent deployment. These five leaks define graxella's five capability stages (Section 4.3).</w:t>
      </w:r>
    </w:p>
    <w:p>
      <w:pPr>
        <w:pStyle w:val="ListBullet"/>
      </w:pPr>
      <w:r>
        <w:rPr>
          <w:b/>
          <w:color w:val="14805E"/>
        </w:rPr>
        <w:t xml:space="preserve">Leak 1 · Input tokens — </w:t>
      </w:r>
      <w:r>
        <w:t>Prompts and context are assembled wastefully; retries burn tokens silently; cache-hostile prompt layouts forfeit up to 90% provider discounts. Cost per completed task is opaque to everyone, including the CFO who pays for it.</w:t>
      </w:r>
    </w:p>
    <w:p>
      <w:pPr>
        <w:pStyle w:val="ListBullet"/>
      </w:pPr>
      <w:r>
        <w:rPr>
          <w:b/>
          <w:color w:val="14805E"/>
        </w:rPr>
        <w:t xml:space="preserve">Leak 2 · The tool boundary — </w:t>
      </w:r>
      <w:r>
        <w:t>Upstream APIs drift — fields rename, schemas version, tools deprecate. Agents keep calling the old shape, burn retries, and every incident ends with a human editing a prompt. Most production drift originates here.</w:t>
      </w:r>
    </w:p>
    <w:p>
      <w:pPr>
        <w:pStyle w:val="ListBullet"/>
      </w:pPr>
      <w:r>
        <w:rPr>
          <w:b/>
          <w:color w:val="14805E"/>
        </w:rPr>
        <w:t xml:space="preserve">Leak 3 · Agent coordination — </w:t>
      </w:r>
      <w:r>
        <w:t>Supervisor LLMs re-read every agent's full description on every hop ('waiting tokens'), then guess. Agents do not know each other's limitations; handoffs are informal; coordination failures are 32.3% of observed failure mass (MAST).</w:t>
      </w:r>
    </w:p>
    <w:p>
      <w:pPr>
        <w:pStyle w:val="ListBullet"/>
      </w:pPr>
      <w:r>
        <w:rPr>
          <w:b/>
          <w:color w:val="14805E"/>
        </w:rPr>
        <w:t xml:space="preserve">Leak 4 · Memory — </w:t>
      </w:r>
      <w:r>
        <w:t>State lives in context windows and chat scrollback. History is lost, contradictions accumulate invisibly, and 'what did we believe when we made that decision?' is unanswerable.</w:t>
      </w:r>
    </w:p>
    <w:p>
      <w:pPr>
        <w:pStyle w:val="ListBullet"/>
      </w:pPr>
      <w:r>
        <w:rPr>
          <w:b/>
          <w:color w:val="14805E"/>
        </w:rPr>
        <w:t xml:space="preserve">Leak 5 · Learning — </w:t>
      </w:r>
      <w:r>
        <w:t>The most expensive leak: every run produces evidence about what works, and today's stacks throw it away as logs. Operations do not compound; ops headcount scales linearly with agent count.</w:t>
      </w:r>
    </w:p>
    <w:p>
      <w:pPr>
        <w:pStyle w:val="Heading2"/>
      </w:pPr>
      <w:r>
        <w:t>3.3 Why current stacks cannot fix it</w:t>
      </w:r>
    </w:p>
    <w:p>
      <w:pPr>
        <w:pStyle w:val="ListBullet"/>
      </w:pPr>
      <w:r>
        <w:rPr>
          <w:b/>
          <w:color w:val="14805E"/>
        </w:rPr>
        <w:t xml:space="preserve">Runtime-LLM answers get worse with scale — </w:t>
      </w:r>
      <w:r>
        <w:t>LLM judges, critics, and retry-with-a-smarter-prompt add cost per call, forever, and are non-deterministic and un-auditable. Per-decision LLM governance is exactly wrong when volume is the goal.</w:t>
      </w:r>
    </w:p>
    <w:p>
      <w:pPr>
        <w:pStyle w:val="ListBullet"/>
      </w:pPr>
      <w:r>
        <w:rPr>
          <w:b/>
          <w:color w:val="14805E"/>
        </w:rPr>
        <w:t xml:space="preserve">Fixes are prose — </w:t>
      </w:r>
      <w:r>
        <w:t>Prompt edits are unversioned, unreviewed, unmeasured, and unrollbackable. Agent behavior has no change management.</w:t>
      </w:r>
    </w:p>
    <w:p>
      <w:pPr>
        <w:pStyle w:val="ListBullet"/>
      </w:pPr>
      <w:r>
        <w:rPr>
          <w:b/>
          <w:color w:val="14805E"/>
        </w:rPr>
        <w:t xml:space="preserve">Audit is forensics — </w:t>
      </w:r>
      <w:r>
        <w:t>Trace viewers show what happened; they cannot say why, because the 'why' was never recorded. 'The LLM decided' fails EU AI Act, model-risk-management, and SOX conversations.</w:t>
      </w:r>
    </w:p>
    <w:p>
      <w:pPr>
        <w:pStyle w:val="ListBullet"/>
      </w:pPr>
      <w:r>
        <w:rPr>
          <w:b/>
          <w:color w:val="14805E"/>
        </w:rPr>
        <w:t xml:space="preserve">Protocols move messages, not trust — </w:t>
      </w:r>
      <w:r>
        <w:t>MCP, A2A, and ACP standardize transport and discovery, but — as the 2026 'Governance Gaps' analysis (arXiv 2606.31498) shows — they cannot express governance, accountability, or evidence of capability. The layer above them is empty.</w:t>
      </w:r>
    </w:p>
    <w:p>
      <w:pPr>
        <w:pStyle w:val="Heading1"/>
      </w:pPr>
      <w:r>
        <w:t>4. How We Are Solving It</w:t>
      </w:r>
    </w:p>
    <w:p>
      <w:pPr>
        <w:pStyle w:val="Heading2"/>
      </w:pPr>
      <w:r>
        <w:t>4.1 The thesis: behavior as an evidence-promoted artifact</w:t>
      </w:r>
    </w:p>
    <w:p>
      <w:r>
        <w:rPr>
          <w:b w:val="0"/>
          <w:i w:val="0"/>
        </w:rPr>
        <w:t>Graxella inverts the industry default. Instead of adding runtime LLM judgment, it moves ALL learning to compile time and keeps the hot path deterministic. The unit of improvement is not a prompt edit but a promotion: a versioned, rollbackable behavior change that carries its own citations into an immutable ledger. The analogy is GitOps — with the pull-request reviewer replaced by a Bayesian gate that reads the organization's own operational history.</w:t>
      </w:r>
    </w:p>
    <w:p>
      <w:r>
        <w:rPr>
          <w:b w:val="0"/>
          <w:i w:val="0"/>
        </w:rPr>
        <w:t>We call the operating doctrine 'optimistic orchestration': the flow the developer wrote always runs, exactly as written (protected by hard constitution invariants that no evidence can override). Learning never blocks and never mutates the flow topology; it only adjusts within safe envelopes — prompts, transforms, tool bindings, routing weights — each change gated, cited, and reversible.</w:t>
      </w:r>
    </w:p>
    <w:p>
      <w:pPr>
        <w:pStyle w:val="Heading2"/>
      </w:pPr>
      <w:r>
        <w:t>4.2 The Evidence Loop</w:t>
      </w:r>
    </w:p>
    <w:p>
      <w:r>
        <w:rPr>
          <w:b w:val="0"/>
          <w:i w:val="0"/>
        </w:rPr>
        <w:t>Six stages, one substrate:</w:t>
      </w:r>
    </w:p>
    <w:p>
      <w:pPr>
        <w:pStyle w:val="ListBullet"/>
      </w:pPr>
      <w:r>
        <w:rPr>
          <w:b/>
          <w:color w:val="14805E"/>
        </w:rPr>
        <w:t xml:space="preserve">1 · Dispatch — </w:t>
      </w:r>
      <w:r>
        <w:t>Deterministic, O(1), zero runtime LLM. Tasks route to agents via auditable scoring (matched tokens and tags recorded per decision); tool calls apply promoted healing transforms.</w:t>
      </w:r>
    </w:p>
    <w:p>
      <w:pPr>
        <w:pStyle w:val="ListBullet"/>
      </w:pPr>
      <w:r>
        <w:rPr>
          <w:b/>
          <w:color w:val="14805E"/>
        </w:rPr>
        <w:t xml:space="preserve">2 · Outcome — </w:t>
      </w:r>
      <w:r>
        <w:t>Every dispatch auto-records a typed outcome (success, failure, latency, cost, violations) linked to its decision — per hop and per trajectory. Verification is structural, not opt-in.</w:t>
      </w:r>
    </w:p>
    <w:p>
      <w:pPr>
        <w:pStyle w:val="ListBullet"/>
      </w:pPr>
      <w:r>
        <w:rPr>
          <w:b/>
          <w:color w:val="14805E"/>
        </w:rPr>
        <w:t xml:space="preserve">3 · Ledger — </w:t>
      </w:r>
      <w:r>
        <w:t>Mnema stores decisions and outcomes as immutable, bi-temporal, provenance-mandatory assertions. History cannot be rewritten by construction.</w:t>
      </w:r>
    </w:p>
    <w:p>
      <w:pPr>
        <w:pStyle w:val="ListBullet"/>
      </w:pPr>
      <w:r>
        <w:rPr>
          <w:b/>
          <w:color w:val="14805E"/>
        </w:rPr>
        <w:t xml:space="preserve">4 · Proposal — </w:t>
      </w:r>
      <w:r>
        <w:t>Offline miners (drift patterns, docs, DSPy/GEPA prompt compilation, paired-trajectory audits) read the ledger and propose concrete changes. LLMs are permitted here — it is compile time.</w:t>
      </w:r>
    </w:p>
    <w:p>
      <w:pPr>
        <w:pStyle w:val="ListBullet"/>
      </w:pPr>
      <w:r>
        <w:rPr>
          <w:b/>
          <w:color w:val="14805E"/>
        </w:rPr>
        <w:t xml:space="preserve">5 · Gate — </w:t>
      </w:r>
      <w:r>
        <w:t>A proposal ships only when the Bayesian gate finds sufficient cited history for that exact (domain, kind, model) tuple — or a human signs off. Cold domains default to human review; thresholds self-calibrate per tuple; provenance diversity (≥K independent sessions) defends against evidence poisoning. Zero LLM in the decision.</w:t>
      </w:r>
    </w:p>
    <w:p>
      <w:pPr>
        <w:pStyle w:val="ListBullet"/>
      </w:pPr>
      <w:r>
        <w:rPr>
          <w:b/>
          <w:color w:val="14805E"/>
        </w:rPr>
        <w:t xml:space="preserve">6 · Promotion — </w:t>
      </w:r>
      <w:r>
        <w:t>Approved changes ship as versioned artifacts with rollback points. The next dispatch reads promoted behavior — reliability compounds with volume.</w:t>
      </w:r>
    </w:p>
    <w:p>
      <w:pPr>
        <w:pStyle w:val="Heading2"/>
      </w:pPr>
      <w:r>
        <w:t>4.3 The five capability stages (founding vision)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656"/>
          </w:tcPr>
          <w:p>
            <w:pPr>
              <w:spacing w:after="40"/>
            </w:pPr>
            <w:r/>
            <w:r>
              <w:rPr>
                <w:rFonts w:ascii="Segoe UI" w:hAnsi="Segoe UI"/>
                <w:b/>
                <w:color w:val="14805E"/>
                <w:sz w:val="18"/>
              </w:rPr>
              <w:t>Stage</w:t>
            </w:r>
          </w:p>
        </w:tc>
        <w:tc>
          <w:tcPr>
            <w:tcW w:type="dxa" w:w="2448"/>
          </w:tcPr>
          <w:p>
            <w:pPr>
              <w:spacing w:after="40"/>
            </w:pPr>
            <w:r/>
            <w:r>
              <w:rPr>
                <w:rFonts w:ascii="Segoe UI" w:hAnsi="Segoe UI"/>
                <w:b/>
                <w:color w:val="14805E"/>
                <w:sz w:val="18"/>
              </w:rPr>
              <w:t>Capability</w:t>
            </w:r>
          </w:p>
        </w:tc>
        <w:tc>
          <w:tcPr>
            <w:tcW w:type="dxa" w:w="5544"/>
          </w:tcPr>
          <w:p>
            <w:pPr>
              <w:spacing w:after="40"/>
            </w:pPr>
            <w:r/>
            <w:r>
              <w:rPr>
                <w:rFonts w:ascii="Segoe UI" w:hAnsi="Segoe UI"/>
                <w:b/>
                <w:color w:val="14805E"/>
                <w:sz w:val="18"/>
              </w:rPr>
              <w:t>Key mechanisms</w:t>
            </w:r>
          </w:p>
        </w:tc>
      </w:tr>
      <w:tr>
        <w:tc>
          <w:tcPr>
            <w:tcW w:type="dxa" w:w="1656"/>
          </w:tcPr>
          <w:p>
            <w:pPr>
              <w:spacing w:after="40"/>
            </w:pPr>
            <w:r/>
            <w:r>
              <w:rPr>
                <w:rFonts w:ascii="Calibri" w:hAnsi="Calibri"/>
                <w:sz w:val="19"/>
              </w:rPr>
              <w:t>1 · Token economy</w:t>
            </w:r>
          </w:p>
        </w:tc>
        <w:tc>
          <w:tcPr>
            <w:tcW w:type="dxa" w:w="2448"/>
          </w:tcPr>
          <w:p>
            <w:pPr>
              <w:spacing w:after="40"/>
            </w:pPr>
            <w:r/>
            <w:r>
              <w:rPr>
                <w:rFonts w:ascii="Calibri" w:hAnsi="Calibri"/>
                <w:sz w:val="19"/>
              </w:rPr>
              <w:t>Reduce input cost without changing intent</w:t>
            </w:r>
          </w:p>
        </w:tc>
        <w:tc>
          <w:tcPr>
            <w:tcW w:type="dxa" w:w="5544"/>
          </w:tcPr>
          <w:p>
            <w:pPr>
              <w:spacing w:after="40"/>
            </w:pPr>
            <w:r/>
            <w:r>
              <w:rPr>
                <w:rFonts w:ascii="Calibri" w:hAnsi="Calibri"/>
                <w:sz w:val="19"/>
              </w:rPr>
              <w:t>Cache-aware prompt layout; token accounting in the value ledger; DSPy/GEPA-compiled prompts as gated promotions; extractive compression (LLMLingua-2 class) only for long novel content, evidence-gated per domain</w:t>
            </w:r>
          </w:p>
        </w:tc>
      </w:tr>
      <w:tr>
        <w:tc>
          <w:tcPr>
            <w:tcW w:type="dxa" w:w="1656"/>
          </w:tcPr>
          <w:p>
            <w:pPr>
              <w:spacing w:after="40"/>
            </w:pPr>
            <w:r/>
            <w:r>
              <w:rPr>
                <w:rFonts w:ascii="Calibri" w:hAnsi="Calibri"/>
                <w:sz w:val="19"/>
              </w:rPr>
              <w:t>2 · Tool boundary</w:t>
            </w:r>
          </w:p>
        </w:tc>
        <w:tc>
          <w:tcPr>
            <w:tcW w:type="dxa" w:w="2448"/>
          </w:tcPr>
          <w:p>
            <w:pPr>
              <w:spacing w:after="40"/>
            </w:pPr>
            <w:r/>
            <w:r>
              <w:rPr>
                <w:rFonts w:ascii="Calibri" w:hAnsi="Calibri"/>
                <w:sz w:val="19"/>
              </w:rPr>
              <w:t>Tool failures and drift healed; correct usage learned</w:t>
            </w:r>
          </w:p>
        </w:tc>
        <w:tc>
          <w:tcPr>
            <w:tcW w:type="dxa" w:w="5544"/>
          </w:tcPr>
          <w:p>
            <w:pPr>
              <w:spacing w:after="40"/>
            </w:pPr>
            <w:r/>
            <w:r>
              <w:rPr>
                <w:rFonts w:ascii="Calibri" w:hAnsi="Calibri"/>
                <w:sz w:val="19"/>
              </w:rPr>
              <w:t>Knowledge graph of tools with live cited trust scores; drift interception (B10 middleware); healer→compiler→verifier producing deterministic transforms; sentinel canaries/shadow calls for fail-zero predictive drift detection; 'fail once, learn forever'</w:t>
            </w:r>
          </w:p>
        </w:tc>
      </w:tr>
      <w:tr>
        <w:tc>
          <w:tcPr>
            <w:tcW w:type="dxa" w:w="1656"/>
          </w:tcPr>
          <w:p>
            <w:pPr>
              <w:spacing w:after="40"/>
            </w:pPr>
            <w:r/>
            <w:r>
              <w:rPr>
                <w:rFonts w:ascii="Calibri" w:hAnsi="Calibri"/>
                <w:sz w:val="19"/>
              </w:rPr>
              <w:t>3 · Agent-to-agent</w:t>
            </w:r>
          </w:p>
        </w:tc>
        <w:tc>
          <w:tcPr>
            <w:tcW w:type="dxa" w:w="2448"/>
          </w:tcPr>
          <w:p>
            <w:pPr>
              <w:spacing w:after="40"/>
            </w:pPr>
            <w:r/>
            <w:r>
              <w:rPr>
                <w:rFonts w:ascii="Calibri" w:hAnsi="Calibri"/>
                <w:sz w:val="19"/>
              </w:rPr>
              <w:t>Deterministic coordination; no waiting tokens</w:t>
            </w:r>
          </w:p>
        </w:tc>
        <w:tc>
          <w:tcPr>
            <w:tcW w:type="dxa" w:w="5544"/>
          </w:tcPr>
          <w:p>
            <w:pPr>
              <w:spacing w:after="40"/>
            </w:pPr>
            <w:r/>
            <w:r>
              <w:rPr>
                <w:rFonts w:ascii="Calibri" w:hAnsi="Calibri"/>
                <w:sz w:val="19"/>
              </w:rPr>
              <w:t>agent2society TF-IDF routing with audit features; typed Handoff envelopes; tiered progressive disclosure (L0 name → L1 skill summaries for shortlist → L2 full contract for chosen agent → L3 tool schemas at invocation), driven by the router, not the LLM; conformance checks and drift/conflict/low-confidence detectors</w:t>
            </w:r>
          </w:p>
        </w:tc>
      </w:tr>
      <w:tr>
        <w:tc>
          <w:tcPr>
            <w:tcW w:type="dxa" w:w="1656"/>
          </w:tcPr>
          <w:p>
            <w:pPr>
              <w:spacing w:after="40"/>
            </w:pPr>
            <w:r/>
            <w:r>
              <w:rPr>
                <w:rFonts w:ascii="Calibri" w:hAnsi="Calibri"/>
                <w:sz w:val="19"/>
              </w:rPr>
              <w:t>4 · Memory</w:t>
            </w:r>
          </w:p>
        </w:tc>
        <w:tc>
          <w:tcPr>
            <w:tcW w:type="dxa" w:w="2448"/>
          </w:tcPr>
          <w:p>
            <w:pPr>
              <w:spacing w:after="40"/>
            </w:pPr>
            <w:r/>
            <w:r>
              <w:rPr>
                <w:rFonts w:ascii="Calibri" w:hAnsi="Calibri"/>
                <w:sz w:val="19"/>
              </w:rPr>
              <w:t>Beliefs with version control</w:t>
            </w:r>
          </w:p>
        </w:tc>
        <w:tc>
          <w:tcPr>
            <w:tcW w:type="dxa" w:w="5544"/>
          </w:tcPr>
          <w:p>
            <w:pPr>
              <w:spacing w:after="40"/>
            </w:pPr>
            <w:r/>
            <w:r>
              <w:rPr>
                <w:rFonts w:ascii="Calibri" w:hAnsi="Calibri"/>
                <w:sz w:val="19"/>
              </w:rPr>
              <w:t>Mnema: immutable typed assertions, bi-temporality, mandatory provenance, retraction cascade, sleep/wake consolidation, why()/timeline(); Memento-style case recall injecting similar past episodes + outcomes at dispatch</w:t>
            </w:r>
          </w:p>
        </w:tc>
      </w:tr>
      <w:tr>
        <w:tc>
          <w:tcPr>
            <w:tcW w:type="dxa" w:w="1656"/>
          </w:tcPr>
          <w:p>
            <w:pPr>
              <w:spacing w:after="40"/>
            </w:pPr>
            <w:r/>
            <w:r>
              <w:rPr>
                <w:rFonts w:ascii="Calibri" w:hAnsi="Calibri"/>
                <w:sz w:val="19"/>
              </w:rPr>
              <w:t>5 · Learning &amp; trust</w:t>
            </w:r>
          </w:p>
        </w:tc>
        <w:tc>
          <w:tcPr>
            <w:tcW w:type="dxa" w:w="2448"/>
          </w:tcPr>
          <w:p>
            <w:pPr>
              <w:spacing w:after="40"/>
            </w:pPr>
            <w:r/>
            <w:r>
              <w:rPr>
                <w:rFonts w:ascii="Calibri" w:hAnsi="Calibri"/>
                <w:sz w:val="19"/>
              </w:rPr>
              <w:t>Learn from failure without touching the flow</w:t>
            </w:r>
          </w:p>
        </w:tc>
        <w:tc>
          <w:tcPr>
            <w:tcW w:type="dxa" w:w="5544"/>
          </w:tcPr>
          <w:p>
            <w:pPr>
              <w:spacing w:after="40"/>
            </w:pPr>
            <w:r/>
            <w:r>
              <w:rPr>
                <w:rFonts w:ascii="Calibri" w:hAnsi="Calibri"/>
                <w:sz w:val="19"/>
              </w:rPr>
              <w:t>Promotion spec for every learnable artifact; per-(domain, kind, model) scoping so the system is LLM-agnostic; ACE-style delta playbooks; paired-trajectory auditing as label-free gate evidence; constitution invariants as hard blocks above all learning</w:t>
            </w:r>
          </w:p>
        </w:tc>
      </w:tr>
    </w:tbl>
    <w:p/>
    <w:p>
      <w:pPr>
        <w:pStyle w:val="Heading2"/>
      </w:pPr>
      <w:r>
        <w:t>4.4 Architecture: control plane / data plane</w:t>
      </w:r>
    </w:p>
    <w:p>
      <w:r>
        <w:rPr>
          <w:b/>
          <w:color w:val="14805E"/>
        </w:rPr>
        <w:t xml:space="preserve">Data plane (embedded in the customer's runtime) — </w:t>
      </w:r>
      <w:r>
        <w:t>graxella.mesh / instrument one-line wrap; deterministic router; bounded multi-hop handoff runtime with loop detection and budgets; healing dispatch; adapters for LangGraph, CrewAI, AutoGen, MCP, A2A, and plain callables. No network dependency on the hot path.</w:t>
      </w:r>
    </w:p>
    <w:p>
      <w:r>
        <w:rPr>
          <w:b/>
          <w:color w:val="14805E"/>
        </w:rPr>
        <w:t xml:space="preserve">Control plane (multi-tenant service) — </w:t>
      </w:r>
      <w:r>
        <w:t>Mnema ledger (SQLite at the edge, Postgres at scale); Evidence Gate; offline miners; audit service (W3C PROV-O export, per-promotion change reports); value ledger computing ROI and reliability curves as queries. Horizontally scalable, sharded by namespace and domain; evidence never leaks across tenants or domains.</w:t>
      </w:r>
    </w:p>
    <w:p>
      <w:pPr>
        <w:pStyle w:val="Heading1"/>
      </w:pPr>
      <w:r>
        <w:t>5. Differentiators</w:t>
      </w:r>
    </w:p>
    <w:p>
      <w:pPr>
        <w:pStyle w:val="ListBullet"/>
      </w:pPr>
      <w:r>
        <w:rPr>
          <w:b/>
          <w:color w:val="14805E"/>
        </w:rPr>
        <w:t xml:space="preserve">Reliability that compounds with volume — </w:t>
      </w:r>
      <w:r>
        <w:t>The only stack where the reliability curve has a positive slope by mechanism: volume → evidence → gated promotions → fewer failures. Everyone else's slope is approximately zero.</w:t>
      </w:r>
    </w:p>
    <w:p>
      <w:pPr>
        <w:pStyle w:val="ListBullet"/>
      </w:pPr>
      <w:r>
        <w:rPr>
          <w:b/>
          <w:color w:val="14805E"/>
        </w:rPr>
        <w:t xml:space="preserve">Zero runtime LLM in the substrate — </w:t>
      </w:r>
      <w:r>
        <w:t>Routing, healing, governance, and gate decisions are deterministic and O(1). Costs fall with scale while LLM-judge approaches grow linearly.</w:t>
      </w:r>
    </w:p>
    <w:p>
      <w:pPr>
        <w:pStyle w:val="ListBullet"/>
      </w:pPr>
      <w:r>
        <w:rPr>
          <w:b/>
          <w:color w:val="14805E"/>
        </w:rPr>
        <w:t xml:space="preserve">Audit by construction — </w:t>
      </w:r>
      <w:r>
        <w:t>Every decision, outcome, verdict, and promotion is a cited, immutable assertion. why() is a lookup, not forensics. This cannot be retrofitted by competitors who never recorded citations.</w:t>
      </w:r>
    </w:p>
    <w:p>
      <w:pPr>
        <w:pStyle w:val="ListBullet"/>
      </w:pPr>
      <w:r>
        <w:rPr>
          <w:b/>
          <w:color w:val="14805E"/>
        </w:rPr>
        <w:t xml:space="preserve">Additive adoption, reversible always — </w:t>
      </w:r>
      <w:r>
        <w:t>One-line wrap over unchanged framework code; unwrap anytime and the agents still run. No new syntax, no user-authored protocol, no rewrite.</w:t>
      </w:r>
    </w:p>
    <w:p>
      <w:pPr>
        <w:pStyle w:val="ListBullet"/>
      </w:pPr>
      <w:r>
        <w:rPr>
          <w:b/>
          <w:color w:val="14805E"/>
        </w:rPr>
        <w:t xml:space="preserve">Evidence-gated learning, never silent — </w:t>
      </w:r>
      <w:r>
        <w:t>Detection-only governance: detectors flag loudly; humans and evidence promote; nothing self-corrects silently. The defined flow is constitutionally protected.</w:t>
      </w:r>
    </w:p>
    <w:p>
      <w:pPr>
        <w:pStyle w:val="ListBullet"/>
      </w:pPr>
      <w:r>
        <w:rPr>
          <w:b/>
          <w:color w:val="14805E"/>
        </w:rPr>
        <w:t xml:space="preserve">LLM-agnostic by scoping — </w:t>
      </w:r>
      <w:r>
        <w:t>Model ids are recorded on every episode; promotions are scoped per (domain, kind, model). Swap the LLM and learned behavior re-validates instead of silently misfiring.</w:t>
      </w:r>
    </w:p>
    <w:p>
      <w:pPr>
        <w:pStyle w:val="ListBullet"/>
      </w:pPr>
      <w:r>
        <w:rPr>
          <w:b/>
          <w:color w:val="14805E"/>
        </w:rPr>
        <w:t xml:space="preserve">A benchmarked claim, not a slogan — </w:t>
      </w:r>
      <w:r>
        <w:t>The MAST Coverage Scorecard maps every mechanism to a peer-reviewed failure mode and is re-issued per release with detection rates from replaying MAST-Data traces.</w:t>
      </w:r>
    </w:p>
    <w:p>
      <w:pPr>
        <w:pStyle w:val="Heading1"/>
      </w:pPr>
      <w:r>
        <w:t>6. Why Graxella Is Relevant Despite Popular Existing Solutions</w:t>
      </w:r>
    </w:p>
    <w:p>
      <w:r>
        <w:rPr>
          <w:b w:val="0"/>
          <w:i w:val="0"/>
        </w:rPr>
        <w:t>The agent ecosystem is crowded, but every popular category occupies a different seat. Graxella competes head-on with almost none of them; it occupies the evidence-substrate seat that all of them leave empty. The table below is the standing answer to 'doesn't X already do this?'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512"/>
          </w:tcPr>
          <w:p>
            <w:pPr>
              <w:spacing w:after="40"/>
            </w:pPr>
            <w:r/>
            <w:r>
              <w:rPr>
                <w:rFonts w:ascii="Segoe UI" w:hAnsi="Segoe UI"/>
                <w:b/>
                <w:color w:val="14805E"/>
                <w:sz w:val="18"/>
              </w:rPr>
              <w:t>Category</w:t>
            </w:r>
          </w:p>
        </w:tc>
        <w:tc>
          <w:tcPr>
            <w:tcW w:type="dxa" w:w="2088"/>
          </w:tcPr>
          <w:p>
            <w:pPr>
              <w:spacing w:after="40"/>
            </w:pPr>
            <w:r/>
            <w:r>
              <w:rPr>
                <w:rFonts w:ascii="Segoe UI" w:hAnsi="Segoe UI"/>
                <w:b/>
                <w:color w:val="14805E"/>
                <w:sz w:val="18"/>
              </w:rPr>
              <w:t>Popular solutions</w:t>
            </w:r>
          </w:p>
        </w:tc>
        <w:tc>
          <w:tcPr>
            <w:tcW w:type="dxa" w:w="1944"/>
          </w:tcPr>
          <w:p>
            <w:pPr>
              <w:spacing w:after="40"/>
            </w:pPr>
            <w:r/>
            <w:r>
              <w:rPr>
                <w:rFonts w:ascii="Segoe UI" w:hAnsi="Segoe UI"/>
                <w:b/>
                <w:color w:val="14805E"/>
                <w:sz w:val="18"/>
              </w:rPr>
              <w:t>What they do</w:t>
            </w:r>
          </w:p>
        </w:tc>
        <w:tc>
          <w:tcPr>
            <w:tcW w:type="dxa" w:w="4104"/>
          </w:tcPr>
          <w:p>
            <w:pPr>
              <w:spacing w:after="40"/>
            </w:pPr>
            <w:r/>
            <w:r>
              <w:rPr>
                <w:rFonts w:ascii="Segoe UI" w:hAnsi="Segoe UI"/>
                <w:b/>
                <w:color w:val="14805E"/>
                <w:sz w:val="18"/>
              </w:rPr>
              <w:t>Why graxella still matters</w:t>
            </w:r>
          </w:p>
        </w:tc>
      </w:tr>
      <w:tr>
        <w:tc>
          <w:tcPr>
            <w:tcW w:type="dxa" w:w="1512"/>
          </w:tcPr>
          <w:p>
            <w:pPr>
              <w:spacing w:after="40"/>
            </w:pPr>
            <w:r/>
            <w:r>
              <w:rPr>
                <w:rFonts w:ascii="Calibri" w:hAnsi="Calibri"/>
                <w:sz w:val="19"/>
              </w:rPr>
              <w:t>Orchestration frameworks</w:t>
            </w:r>
          </w:p>
        </w:tc>
        <w:tc>
          <w:tcPr>
            <w:tcW w:type="dxa" w:w="2088"/>
          </w:tcPr>
          <w:p>
            <w:pPr>
              <w:spacing w:after="40"/>
            </w:pPr>
            <w:r/>
            <w:r>
              <w:rPr>
                <w:rFonts w:ascii="Calibri" w:hAnsi="Calibri"/>
                <w:sz w:val="19"/>
              </w:rPr>
              <w:t>LangGraph, LangChain, CrewAI, AutoGen</w:t>
            </w:r>
          </w:p>
        </w:tc>
        <w:tc>
          <w:tcPr>
            <w:tcW w:type="dxa" w:w="1944"/>
          </w:tcPr>
          <w:p>
            <w:pPr>
              <w:spacing w:after="40"/>
            </w:pPr>
            <w:r/>
            <w:r>
              <w:rPr>
                <w:rFonts w:ascii="Calibri" w:hAnsi="Calibri"/>
                <w:sz w:val="19"/>
              </w:rPr>
              <w:t>Author and execute agent workflows</w:t>
            </w:r>
          </w:p>
        </w:tc>
        <w:tc>
          <w:tcPr>
            <w:tcW w:type="dxa" w:w="4104"/>
          </w:tcPr>
          <w:p>
            <w:pPr>
              <w:spacing w:after="40"/>
            </w:pPr>
            <w:r/>
            <w:r>
              <w:rPr>
                <w:rFonts w:ascii="Calibri" w:hAnsi="Calibri"/>
                <w:sz w:val="19"/>
              </w:rPr>
              <w:t>Complements, never competes: graxella wraps them unchanged. Frameworks own syntax; graxella owns evidence. Framework churn is a tailwind — the ledger outlives any stack choice.</w:t>
            </w:r>
          </w:p>
        </w:tc>
      </w:tr>
      <w:tr>
        <w:tc>
          <w:tcPr>
            <w:tcW w:type="dxa" w:w="1512"/>
          </w:tcPr>
          <w:p>
            <w:pPr>
              <w:spacing w:after="40"/>
            </w:pPr>
            <w:r/>
            <w:r>
              <w:rPr>
                <w:rFonts w:ascii="Calibri" w:hAnsi="Calibri"/>
                <w:sz w:val="19"/>
              </w:rPr>
              <w:t>Observability / evals</w:t>
            </w:r>
          </w:p>
        </w:tc>
        <w:tc>
          <w:tcPr>
            <w:tcW w:type="dxa" w:w="2088"/>
          </w:tcPr>
          <w:p>
            <w:pPr>
              <w:spacing w:after="40"/>
            </w:pPr>
            <w:r/>
            <w:r>
              <w:rPr>
                <w:rFonts w:ascii="Calibri" w:hAnsi="Calibri"/>
                <w:sz w:val="19"/>
              </w:rPr>
              <w:t>LangSmith, Langfuse, Arize Phoenix, AgentOps</w:t>
            </w:r>
          </w:p>
        </w:tc>
        <w:tc>
          <w:tcPr>
            <w:tcW w:type="dxa" w:w="1944"/>
          </w:tcPr>
          <w:p>
            <w:pPr>
              <w:spacing w:after="40"/>
            </w:pPr>
            <w:r/>
            <w:r>
              <w:rPr>
                <w:rFonts w:ascii="Calibri" w:hAnsi="Calibri"/>
                <w:sz w:val="19"/>
              </w:rPr>
              <w:t>Trace, visualize, and evaluate runs</w:t>
            </w:r>
          </w:p>
        </w:tc>
        <w:tc>
          <w:tcPr>
            <w:tcW w:type="dxa" w:w="4104"/>
          </w:tcPr>
          <w:p>
            <w:pPr>
              <w:spacing w:after="40"/>
            </w:pPr>
            <w:r/>
            <w:r>
              <w:rPr>
                <w:rFonts w:ascii="Calibri" w:hAnsi="Calibri"/>
                <w:sz w:val="19"/>
              </w:rPr>
              <w:t>They see; they do not learn or govern. Graxella emits standard OTel GenAI traces INTO them, and adds the layer they lack: decisions with citations, gated promotions, closed-loop improvement.</w:t>
            </w:r>
          </w:p>
        </w:tc>
      </w:tr>
      <w:tr>
        <w:tc>
          <w:tcPr>
            <w:tcW w:type="dxa" w:w="1512"/>
          </w:tcPr>
          <w:p>
            <w:pPr>
              <w:spacing w:after="40"/>
            </w:pPr>
            <w:r/>
            <w:r>
              <w:rPr>
                <w:rFonts w:ascii="Calibri" w:hAnsi="Calibri"/>
                <w:sz w:val="19"/>
              </w:rPr>
              <w:t>Memory layers</w:t>
            </w:r>
          </w:p>
        </w:tc>
        <w:tc>
          <w:tcPr>
            <w:tcW w:type="dxa" w:w="2088"/>
          </w:tcPr>
          <w:p>
            <w:pPr>
              <w:spacing w:after="40"/>
            </w:pPr>
            <w:r/>
            <w:r>
              <w:rPr>
                <w:rFonts w:ascii="Calibri" w:hAnsi="Calibri"/>
                <w:sz w:val="19"/>
              </w:rPr>
              <w:t>Mem0, Zep/Graphiti, Letta</w:t>
            </w:r>
          </w:p>
        </w:tc>
        <w:tc>
          <w:tcPr>
            <w:tcW w:type="dxa" w:w="1944"/>
          </w:tcPr>
          <w:p>
            <w:pPr>
              <w:spacing w:after="40"/>
            </w:pPr>
            <w:r/>
            <w:r>
              <w:rPr>
                <w:rFonts w:ascii="Calibri" w:hAnsi="Calibri"/>
                <w:sz w:val="19"/>
              </w:rPr>
              <w:t>Store and retrieve agent memory</w:t>
            </w:r>
          </w:p>
        </w:tc>
        <w:tc>
          <w:tcPr>
            <w:tcW w:type="dxa" w:w="4104"/>
          </w:tcPr>
          <w:p>
            <w:pPr>
              <w:spacing w:after="40"/>
            </w:pPr>
            <w:r/>
            <w:r>
              <w:rPr>
                <w:rFonts w:ascii="Calibri" w:hAnsi="Calibri"/>
                <w:sz w:val="19"/>
              </w:rPr>
              <w:t>They remember facts; mnema governs beliefs — immutable, bi-temporal, provenance-mandatory, with retraction cascades. ACE's context-collapse findings argue for exactly this append-only design. Memory here is the substrate of governance, not a recall cache.</w:t>
            </w:r>
          </w:p>
        </w:tc>
      </w:tr>
      <w:tr>
        <w:tc>
          <w:tcPr>
            <w:tcW w:type="dxa" w:w="1512"/>
          </w:tcPr>
          <w:p>
            <w:pPr>
              <w:spacing w:after="40"/>
            </w:pPr>
            <w:r/>
            <w:r>
              <w:rPr>
                <w:rFonts w:ascii="Calibri" w:hAnsi="Calibri"/>
                <w:sz w:val="19"/>
              </w:rPr>
              <w:t>Guardrails</w:t>
            </w:r>
          </w:p>
        </w:tc>
        <w:tc>
          <w:tcPr>
            <w:tcW w:type="dxa" w:w="2088"/>
          </w:tcPr>
          <w:p>
            <w:pPr>
              <w:spacing w:after="40"/>
            </w:pPr>
            <w:r/>
            <w:r>
              <w:rPr>
                <w:rFonts w:ascii="Calibri" w:hAnsi="Calibri"/>
                <w:sz w:val="19"/>
              </w:rPr>
              <w:t>NeMo Guardrails, Guardrails AI, LLM firewalls</w:t>
            </w:r>
          </w:p>
        </w:tc>
        <w:tc>
          <w:tcPr>
            <w:tcW w:type="dxa" w:w="1944"/>
          </w:tcPr>
          <w:p>
            <w:pPr>
              <w:spacing w:after="40"/>
            </w:pPr>
            <w:r/>
            <w:r>
              <w:rPr>
                <w:rFonts w:ascii="Calibri" w:hAnsi="Calibri"/>
                <w:sz w:val="19"/>
              </w:rPr>
              <w:t>Static rule checks on inputs/outputs</w:t>
            </w:r>
          </w:p>
        </w:tc>
        <w:tc>
          <w:tcPr>
            <w:tcW w:type="dxa" w:w="4104"/>
          </w:tcPr>
          <w:p>
            <w:pPr>
              <w:spacing w:after="40"/>
            </w:pPr>
            <w:r/>
            <w:r>
              <w:rPr>
                <w:rFonts w:ascii="Calibri" w:hAnsi="Calibri"/>
                <w:sz w:val="19"/>
              </w:rPr>
              <w:t>Rules are written once and rot; graxella's gate is evidence-based and self-calibrating, with static invariants kept only for the constitution layer where hard blocks belong.</w:t>
            </w:r>
          </w:p>
        </w:tc>
      </w:tr>
      <w:tr>
        <w:tc>
          <w:tcPr>
            <w:tcW w:type="dxa" w:w="1512"/>
          </w:tcPr>
          <w:p>
            <w:pPr>
              <w:spacing w:after="40"/>
            </w:pPr>
            <w:r/>
            <w:r>
              <w:rPr>
                <w:rFonts w:ascii="Calibri" w:hAnsi="Calibri"/>
                <w:sz w:val="19"/>
              </w:rPr>
              <w:t>MCP gateways / registries</w:t>
            </w:r>
          </w:p>
        </w:tc>
        <w:tc>
          <w:tcPr>
            <w:tcW w:type="dxa" w:w="2088"/>
          </w:tcPr>
          <w:p>
            <w:pPr>
              <w:spacing w:after="40"/>
            </w:pPr>
            <w:r/>
            <w:r>
              <w:rPr>
                <w:rFonts w:ascii="Calibri" w:hAnsi="Calibri"/>
                <w:sz w:val="19"/>
              </w:rPr>
              <w:t>ContextForge, Kong Agent Gateway, Composio, AWS MCP Gateway</w:t>
            </w:r>
          </w:p>
        </w:tc>
        <w:tc>
          <w:tcPr>
            <w:tcW w:type="dxa" w:w="1944"/>
          </w:tcPr>
          <w:p>
            <w:pPr>
              <w:spacing w:after="40"/>
            </w:pPr>
            <w:r/>
            <w:r>
              <w:rPr>
                <w:rFonts w:ascii="Calibri" w:hAnsi="Calibri"/>
                <w:sz w:val="19"/>
              </w:rPr>
              <w:t>Federate, allowlist, and proxy tool access</w:t>
            </w:r>
          </w:p>
        </w:tc>
        <w:tc>
          <w:tcPr>
            <w:tcW w:type="dxa" w:w="4104"/>
          </w:tcPr>
          <w:p>
            <w:pPr>
              <w:spacing w:after="40"/>
            </w:pPr>
            <w:r/>
            <w:r>
              <w:rPr>
                <w:rFonts w:ascii="Calibri" w:hAnsi="Calibri"/>
                <w:sz w:val="19"/>
              </w:rPr>
              <w:t>Gateways enforce; graxella learns. It rides above them with drift healing, verified transforms, and live tool trust scores no gateway computes. Plumbing is delegated, not rebuilt.</w:t>
            </w:r>
          </w:p>
        </w:tc>
      </w:tr>
      <w:tr>
        <w:tc>
          <w:tcPr>
            <w:tcW w:type="dxa" w:w="1512"/>
          </w:tcPr>
          <w:p>
            <w:pPr>
              <w:spacing w:after="40"/>
            </w:pPr>
            <w:r/>
            <w:r>
              <w:rPr>
                <w:rFonts w:ascii="Calibri" w:hAnsi="Calibri"/>
                <w:sz w:val="19"/>
              </w:rPr>
              <w:t>Model routers</w:t>
            </w:r>
          </w:p>
        </w:tc>
        <w:tc>
          <w:tcPr>
            <w:tcW w:type="dxa" w:w="2088"/>
          </w:tcPr>
          <w:p>
            <w:pPr>
              <w:spacing w:after="40"/>
            </w:pPr>
            <w:r/>
            <w:r>
              <w:rPr>
                <w:rFonts w:ascii="Calibri" w:hAnsi="Calibri"/>
                <w:sz w:val="19"/>
              </w:rPr>
              <w:t>RouteLLM, LiteLLM, Martian</w:t>
            </w:r>
          </w:p>
        </w:tc>
        <w:tc>
          <w:tcPr>
            <w:tcW w:type="dxa" w:w="1944"/>
          </w:tcPr>
          <w:p>
            <w:pPr>
              <w:spacing w:after="40"/>
            </w:pPr>
            <w:r/>
            <w:r>
              <w:rPr>
                <w:rFonts w:ascii="Calibri" w:hAnsi="Calibri"/>
                <w:sz w:val="19"/>
              </w:rPr>
              <w:t>Route queries between cheap and strong models</w:t>
            </w:r>
          </w:p>
        </w:tc>
        <w:tc>
          <w:tcPr>
            <w:tcW w:type="dxa" w:w="4104"/>
          </w:tcPr>
          <w:p>
            <w:pPr>
              <w:spacing w:after="40"/>
            </w:pPr>
            <w:r/>
            <w:r>
              <w:rPr>
                <w:rFonts w:ascii="Calibri" w:hAnsi="Calibri"/>
                <w:sz w:val="19"/>
              </w:rPr>
              <w:t>Graxella learns model-tier assignment from its own outcome ledger per (domain, kind) and ships it as a gated promotion; LiteLLM is adopted underneath as provider abstraction.</w:t>
            </w:r>
          </w:p>
        </w:tc>
      </w:tr>
      <w:tr>
        <w:tc>
          <w:tcPr>
            <w:tcW w:type="dxa" w:w="1512"/>
          </w:tcPr>
          <w:p>
            <w:pPr>
              <w:spacing w:after="40"/>
            </w:pPr>
            <w:r/>
            <w:r>
              <w:rPr>
                <w:rFonts w:ascii="Calibri" w:hAnsi="Calibri"/>
                <w:sz w:val="19"/>
              </w:rPr>
              <w:t>Prompt optimizers</w:t>
            </w:r>
          </w:p>
        </w:tc>
        <w:tc>
          <w:tcPr>
            <w:tcW w:type="dxa" w:w="2088"/>
          </w:tcPr>
          <w:p>
            <w:pPr>
              <w:spacing w:after="40"/>
            </w:pPr>
            <w:r/>
            <w:r>
              <w:rPr>
                <w:rFonts w:ascii="Calibri" w:hAnsi="Calibri"/>
                <w:sz w:val="19"/>
              </w:rPr>
              <w:t>DSPy/GEPA, promptfoo</w:t>
            </w:r>
          </w:p>
        </w:tc>
        <w:tc>
          <w:tcPr>
            <w:tcW w:type="dxa" w:w="1944"/>
          </w:tcPr>
          <w:p>
            <w:pPr>
              <w:spacing w:after="40"/>
            </w:pPr>
            <w:r/>
            <w:r>
              <w:rPr>
                <w:rFonts w:ascii="Calibri" w:hAnsi="Calibri"/>
                <w:sz w:val="19"/>
              </w:rPr>
              <w:t>Compile better prompts offline</w:t>
            </w:r>
          </w:p>
        </w:tc>
        <w:tc>
          <w:tcPr>
            <w:tcW w:type="dxa" w:w="4104"/>
          </w:tcPr>
          <w:p>
            <w:pPr>
              <w:spacing w:after="40"/>
            </w:pPr>
            <w:r/>
            <w:r>
              <w:rPr>
                <w:rFonts w:ascii="Calibri" w:hAnsi="Calibri"/>
                <w:sz w:val="19"/>
              </w:rPr>
              <w:t>Adopted as a component: DSPy is graxella's official compile-time optimizer. Graxella supplies what DSPy lacks — the trainset (episodes), the metric (outcomes), and the governance (gate) around deployment.</w:t>
            </w:r>
          </w:p>
        </w:tc>
      </w:tr>
      <w:tr>
        <w:tc>
          <w:tcPr>
            <w:tcW w:type="dxa" w:w="1512"/>
          </w:tcPr>
          <w:p>
            <w:pPr>
              <w:spacing w:after="40"/>
            </w:pPr>
            <w:r/>
            <w:r>
              <w:rPr>
                <w:rFonts w:ascii="Calibri" w:hAnsi="Calibri"/>
                <w:sz w:val="19"/>
              </w:rPr>
              <w:t>Protocols</w:t>
            </w:r>
          </w:p>
        </w:tc>
        <w:tc>
          <w:tcPr>
            <w:tcW w:type="dxa" w:w="2088"/>
          </w:tcPr>
          <w:p>
            <w:pPr>
              <w:spacing w:after="40"/>
            </w:pPr>
            <w:r/>
            <w:r>
              <w:rPr>
                <w:rFonts w:ascii="Calibri" w:hAnsi="Calibri"/>
                <w:sz w:val="19"/>
              </w:rPr>
              <w:t>MCP, A2A (Linux Foundation), ACP</w:t>
            </w:r>
          </w:p>
        </w:tc>
        <w:tc>
          <w:tcPr>
            <w:tcW w:type="dxa" w:w="1944"/>
          </w:tcPr>
          <w:p>
            <w:pPr>
              <w:spacing w:after="40"/>
            </w:pPr>
            <w:r/>
            <w:r>
              <w:rPr>
                <w:rFonts w:ascii="Calibri" w:hAnsi="Calibri"/>
                <w:sz w:val="19"/>
              </w:rPr>
              <w:t>Standardize tool access and agent messaging</w:t>
            </w:r>
          </w:p>
        </w:tc>
        <w:tc>
          <w:tcPr>
            <w:tcW w:type="dxa" w:w="4104"/>
          </w:tcPr>
          <w:p>
            <w:pPr>
              <w:spacing w:after="40"/>
            </w:pPr>
            <w:r/>
            <w:r>
              <w:rPr>
                <w:rFonts w:ascii="Calibri" w:hAnsi="Calibri"/>
                <w:sz w:val="19"/>
              </w:rPr>
              <w:t>Ridden, not fought: A2A cards and MCP are native surfaces. Peer-reviewed analysis (arXiv 2606.31498) confirms these protocols cannot express governance — graxella is the documented missing layer.</w:t>
            </w:r>
          </w:p>
        </w:tc>
      </w:tr>
    </w:tbl>
    <w:p/>
    <w:p>
      <w:r>
        <w:rPr>
          <w:b w:val="0"/>
          <w:i/>
        </w:rPr>
        <w:t>Summary: frameworks build agents, observability watches them, protocols connect them, guardrails filter them — and none of them makes agents measurably more reliable next month than this month, with evidence a regulator can read. That is graxella's seat, and it is empty.</w:t>
      </w:r>
    </w:p>
    <w:p>
      <w:pPr>
        <w:pStyle w:val="Heading1"/>
      </w:pPr>
      <w:r>
        <w:t>7. Target Audience</w:t>
      </w:r>
    </w:p>
    <w:p>
      <w:pPr>
        <w:pStyle w:val="Heading2"/>
      </w:pPr>
      <w:r>
        <w:t>7.1 Ideal customer profile</w:t>
      </w:r>
    </w:p>
    <w:p>
      <w:r>
        <w:rPr>
          <w:b w:val="0"/>
          <w:i w:val="0"/>
        </w:rPr>
        <w:t>Mid-to-large enterprises (1,000+ employees) that have moved past agent experimentation into (or blocked at the gate of) production, in domains where auditability is a license to operate. Sweet spot: an AI platform team of 5–50 engineers serving many internal business units, running workflows of 3+ steps across drifting internal APIs, with a compliance function that must sign off before scale-up.</w:t>
      </w:r>
    </w:p>
    <w:p>
      <w:pPr>
        <w:pStyle w:val="ListBullet"/>
      </w:pPr>
      <w:r>
        <w:t>Priority verticals: financial services and insurance (SOX, model risk management), healthcare (audit-heavy, high blast radius), telecom and enterprise SaaS operations (high volume, cost pressure), and any EU-exposed enterprise facing AI Act obligations.</w:t>
      </w:r>
    </w:p>
    <w:p>
      <w:pPr>
        <w:pStyle w:val="ListBullet"/>
      </w:pPr>
      <w:r>
        <w:t>Anti-profile (not now): single-agent chatbot teams, prototype-stage startups without production volume (no evidence to learn from), and teams seeking an agent-authoring framework rather than a reliability layer.</w:t>
      </w:r>
    </w:p>
    <w:p>
      <w:pPr>
        <w:pStyle w:val="Heading2"/>
      </w:pPr>
      <w:r>
        <w:t>7.2 Personas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304"/>
          </w:tcPr>
          <w:p>
            <w:pPr>
              <w:spacing w:after="40"/>
            </w:pPr>
            <w:r/>
            <w:r>
              <w:rPr>
                <w:rFonts w:ascii="Segoe UI" w:hAnsi="Segoe UI"/>
                <w:b/>
                <w:color w:val="14805E"/>
                <w:sz w:val="18"/>
              </w:rPr>
              <w:t>Persona</w:t>
            </w:r>
          </w:p>
        </w:tc>
        <w:tc>
          <w:tcPr>
            <w:tcW w:type="dxa" w:w="2160"/>
          </w:tcPr>
          <w:p>
            <w:pPr>
              <w:spacing w:after="40"/>
            </w:pPr>
            <w:r/>
            <w:r>
              <w:rPr>
                <w:rFonts w:ascii="Segoe UI" w:hAnsi="Segoe UI"/>
                <w:b/>
                <w:color w:val="14805E"/>
                <w:sz w:val="18"/>
              </w:rPr>
              <w:t>Role in the deal</w:t>
            </w:r>
          </w:p>
        </w:tc>
        <w:tc>
          <w:tcPr>
            <w:tcW w:type="dxa" w:w="5184"/>
          </w:tcPr>
          <w:p>
            <w:pPr>
              <w:spacing w:after="40"/>
            </w:pPr>
            <w:r/>
            <w:r>
              <w:rPr>
                <w:rFonts w:ascii="Segoe UI" w:hAnsi="Segoe UI"/>
                <w:b/>
                <w:color w:val="14805E"/>
                <w:sz w:val="18"/>
              </w:rPr>
              <w:t>What graxella gives them</w:t>
            </w:r>
          </w:p>
        </w:tc>
      </w:tr>
      <w:tr>
        <w:tc>
          <w:tcPr>
            <w:tcW w:type="dxa" w:w="2304"/>
          </w:tcPr>
          <w:p>
            <w:pPr>
              <w:spacing w:after="40"/>
            </w:pPr>
            <w:r/>
            <w:r>
              <w:rPr>
                <w:rFonts w:ascii="Calibri" w:hAnsi="Calibri"/>
                <w:sz w:val="19"/>
              </w:rPr>
              <w:t>Head of AI Platform / Platform Engineering</w:t>
            </w:r>
          </w:p>
        </w:tc>
        <w:tc>
          <w:tcPr>
            <w:tcW w:type="dxa" w:w="2160"/>
          </w:tcPr>
          <w:p>
            <w:pPr>
              <w:spacing w:after="40"/>
            </w:pPr>
            <w:r/>
            <w:r>
              <w:rPr>
                <w:rFonts w:ascii="Calibri" w:hAnsi="Calibri"/>
                <w:sz w:val="19"/>
              </w:rPr>
              <w:t>Economic buyer and champion</w:t>
            </w:r>
          </w:p>
        </w:tc>
        <w:tc>
          <w:tcPr>
            <w:tcW w:type="dxa" w:w="5184"/>
          </w:tcPr>
          <w:p>
            <w:pPr>
              <w:spacing w:after="40"/>
            </w:pPr>
            <w:r/>
            <w:r>
              <w:rPr>
                <w:rFonts w:ascii="Calibri" w:hAnsi="Calibri"/>
                <w:sz w:val="19"/>
              </w:rPr>
              <w:t>The reliability-slope dashboard; governance that scales without headcount; a control plane that outlives framework churn</w:t>
            </w:r>
          </w:p>
        </w:tc>
      </w:tr>
      <w:tr>
        <w:tc>
          <w:tcPr>
            <w:tcW w:type="dxa" w:w="2304"/>
          </w:tcPr>
          <w:p>
            <w:pPr>
              <w:spacing w:after="40"/>
            </w:pPr>
            <w:r/>
            <w:r>
              <w:rPr>
                <w:rFonts w:ascii="Calibri" w:hAnsi="Calibri"/>
                <w:sz w:val="19"/>
              </w:rPr>
              <w:t>Staff / Senior AI engineer</w:t>
            </w:r>
          </w:p>
        </w:tc>
        <w:tc>
          <w:tcPr>
            <w:tcW w:type="dxa" w:w="2160"/>
          </w:tcPr>
          <w:p>
            <w:pPr>
              <w:spacing w:after="40"/>
            </w:pPr>
            <w:r/>
            <w:r>
              <w:rPr>
                <w:rFonts w:ascii="Calibri" w:hAnsi="Calibri"/>
                <w:sz w:val="19"/>
              </w:rPr>
              <w:t>Day-one user, bottom-up adopter</w:t>
            </w:r>
          </w:p>
        </w:tc>
        <w:tc>
          <w:tcPr>
            <w:tcW w:type="dxa" w:w="5184"/>
          </w:tcPr>
          <w:p>
            <w:pPr>
              <w:spacing w:after="40"/>
            </w:pPr>
            <w:r/>
            <w:r>
              <w:rPr>
                <w:rFonts w:ascii="Calibri" w:hAnsi="Calibri"/>
                <w:sz w:val="19"/>
              </w:rPr>
              <w:t>One-line wrap, zero rewrite, loud failures instead of silent ones, why() instead of log archaeology</w:t>
            </w:r>
          </w:p>
        </w:tc>
      </w:tr>
      <w:tr>
        <w:tc>
          <w:tcPr>
            <w:tcW w:type="dxa" w:w="2304"/>
          </w:tcPr>
          <w:p>
            <w:pPr>
              <w:spacing w:after="40"/>
            </w:pPr>
            <w:r/>
            <w:r>
              <w:rPr>
                <w:rFonts w:ascii="Calibri" w:hAnsi="Calibri"/>
                <w:sz w:val="19"/>
              </w:rPr>
              <w:t>Compliance / Model Risk officer</w:t>
            </w:r>
          </w:p>
        </w:tc>
        <w:tc>
          <w:tcPr>
            <w:tcW w:type="dxa" w:w="2160"/>
          </w:tcPr>
          <w:p>
            <w:pPr>
              <w:spacing w:after="40"/>
            </w:pPr>
            <w:r/>
            <w:r>
              <w:rPr>
                <w:rFonts w:ascii="Calibri" w:hAnsi="Calibri"/>
                <w:sz w:val="19"/>
              </w:rPr>
              <w:t>Veto holder turned ally</w:t>
            </w:r>
          </w:p>
        </w:tc>
        <w:tc>
          <w:tcPr>
            <w:tcW w:type="dxa" w:w="5184"/>
          </w:tcPr>
          <w:p>
            <w:pPr>
              <w:spacing w:after="40"/>
            </w:pPr>
            <w:r/>
            <w:r>
              <w:rPr>
                <w:rFonts w:ascii="Calibri" w:hAnsi="Calibri"/>
                <w:sz w:val="19"/>
              </w:rPr>
              <w:t>Cited decision trails, PROV-O export, per-promotion change reports with approver and rollback point; EU AI Act-grade traceability by construction</w:t>
            </w:r>
          </w:p>
        </w:tc>
      </w:tr>
      <w:tr>
        <w:tc>
          <w:tcPr>
            <w:tcW w:type="dxa" w:w="2304"/>
          </w:tcPr>
          <w:p>
            <w:pPr>
              <w:spacing w:after="40"/>
            </w:pPr>
            <w:r/>
            <w:r>
              <w:rPr>
                <w:rFonts w:ascii="Calibri" w:hAnsi="Calibri"/>
                <w:sz w:val="19"/>
              </w:rPr>
              <w:t>CFO / Business sponsor</w:t>
            </w:r>
          </w:p>
        </w:tc>
        <w:tc>
          <w:tcPr>
            <w:tcW w:type="dxa" w:w="2160"/>
          </w:tcPr>
          <w:p>
            <w:pPr>
              <w:spacing w:after="40"/>
            </w:pPr>
            <w:r/>
            <w:r>
              <w:rPr>
                <w:rFonts w:ascii="Calibri" w:hAnsi="Calibri"/>
                <w:sz w:val="19"/>
              </w:rPr>
              <w:t>Renewal decision</w:t>
            </w:r>
          </w:p>
        </w:tc>
        <w:tc>
          <w:tcPr>
            <w:tcW w:type="dxa" w:w="5184"/>
          </w:tcPr>
          <w:p>
            <w:pPr>
              <w:spacing w:after="40"/>
            </w:pPr>
            <w:r/>
            <w:r>
              <w:rPr>
                <w:rFonts w:ascii="Calibri" w:hAnsi="Calibri"/>
                <w:sz w:val="19"/>
              </w:rPr>
              <w:t>Cost per completed task trending down; ROI as a query, not an estimate; the week-1 vs week-8 pilot report</w:t>
            </w:r>
          </w:p>
        </w:tc>
      </w:tr>
      <w:tr>
        <w:tc>
          <w:tcPr>
            <w:tcW w:type="dxa" w:w="2304"/>
          </w:tcPr>
          <w:p>
            <w:pPr>
              <w:spacing w:after="40"/>
            </w:pPr>
            <w:r/>
            <w:r>
              <w:rPr>
                <w:rFonts w:ascii="Calibri" w:hAnsi="Calibri"/>
                <w:sz w:val="19"/>
              </w:rPr>
              <w:t>Open-source developer community</w:t>
            </w:r>
          </w:p>
        </w:tc>
        <w:tc>
          <w:tcPr>
            <w:tcW w:type="dxa" w:w="2160"/>
          </w:tcPr>
          <w:p>
            <w:pPr>
              <w:spacing w:after="40"/>
            </w:pPr>
            <w:r/>
            <w:r>
              <w:rPr>
                <w:rFonts w:ascii="Calibri" w:hAnsi="Calibri"/>
                <w:sz w:val="19"/>
              </w:rPr>
              <w:t>Adoption flywheel and credibility</w:t>
            </w:r>
          </w:p>
        </w:tc>
        <w:tc>
          <w:tcPr>
            <w:tcW w:type="dxa" w:w="5184"/>
          </w:tcPr>
          <w:p>
            <w:pPr>
              <w:spacing w:after="40"/>
            </w:pPr>
            <w:r/>
            <w:r>
              <w:rPr>
                <w:rFonts w:ascii="Calibri" w:hAnsi="Calibri"/>
                <w:sz w:val="19"/>
              </w:rPr>
              <w:t>Apache-2.0 data plane and mnema; standards alignment (OTel GenAI, A2A, MCP); benchmark publications (MAST scorecard, LongMemEval)</w:t>
            </w:r>
          </w:p>
        </w:tc>
      </w:tr>
    </w:tbl>
    <w:p/>
    <w:p>
      <w:pPr>
        <w:pStyle w:val="Heading1"/>
      </w:pPr>
      <w:r>
        <w:t>8. Success Metrics (North Stars)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tcPr>
          <w:p>
            <w:pPr>
              <w:spacing w:after="40"/>
            </w:pPr>
            <w:r/>
            <w:r>
              <w:rPr>
                <w:rFonts w:ascii="Segoe UI" w:hAnsi="Segoe UI"/>
                <w:b/>
                <w:color w:val="14805E"/>
                <w:sz w:val="18"/>
              </w:rPr>
              <w:t>Metric</w:t>
            </w:r>
          </w:p>
        </w:tc>
        <w:tc>
          <w:tcPr>
            <w:tcW w:type="dxa" w:w="3312"/>
          </w:tcPr>
          <w:p>
            <w:pPr>
              <w:spacing w:after="40"/>
            </w:pPr>
            <w:r/>
            <w:r>
              <w:rPr>
                <w:rFonts w:ascii="Segoe UI" w:hAnsi="Segoe UI"/>
                <w:b/>
                <w:color w:val="14805E"/>
                <w:sz w:val="18"/>
              </w:rPr>
              <w:t>Definition</w:t>
            </w:r>
          </w:p>
        </w:tc>
        <w:tc>
          <w:tcPr>
            <w:tcW w:type="dxa" w:w="4176"/>
          </w:tcPr>
          <w:p>
            <w:pPr>
              <w:spacing w:after="40"/>
            </w:pPr>
            <w:r/>
            <w:r>
              <w:rPr>
                <w:rFonts w:ascii="Segoe UI" w:hAnsi="Segoe UI"/>
                <w:b/>
                <w:color w:val="14805E"/>
                <w:sz w:val="18"/>
              </w:rPr>
              <w:t>Why it is the headline</w:t>
            </w:r>
          </w:p>
        </w:tc>
      </w:tr>
      <w:tr>
        <w:tc>
          <w:tcPr>
            <w:tcW w:type="dxa" w:w="2160"/>
          </w:tcPr>
          <w:p>
            <w:pPr>
              <w:spacing w:after="40"/>
            </w:pPr>
            <w:r/>
            <w:r>
              <w:rPr>
                <w:rFonts w:ascii="Calibri" w:hAnsi="Calibri"/>
                <w:sz w:val="19"/>
              </w:rPr>
              <w:t>Reliability slope</w:t>
            </w:r>
          </w:p>
        </w:tc>
        <w:tc>
          <w:tcPr>
            <w:tcW w:type="dxa" w:w="3312"/>
          </w:tcPr>
          <w:p>
            <w:pPr>
              <w:spacing w:after="40"/>
            </w:pPr>
            <w:r/>
            <w:r>
              <w:rPr>
                <w:rFonts w:ascii="Calibri" w:hAnsi="Calibri"/>
                <w:sz w:val="19"/>
              </w:rPr>
              <w:t>Δ task success rate per 1,000 runs</w:t>
            </w:r>
          </w:p>
        </w:tc>
        <w:tc>
          <w:tcPr>
            <w:tcW w:type="dxa" w:w="4176"/>
          </w:tcPr>
          <w:p>
            <w:pPr>
              <w:spacing w:after="40"/>
            </w:pPr>
            <w:r/>
            <w:r>
              <w:rPr>
                <w:rFonts w:ascii="Calibri" w:hAnsi="Calibri"/>
                <w:sz w:val="19"/>
              </w:rPr>
              <w:t>The compounding claim, falsifiable; everyone else's slope is ~zero</w:t>
            </w:r>
          </w:p>
        </w:tc>
      </w:tr>
      <w:tr>
        <w:tc>
          <w:tcPr>
            <w:tcW w:type="dxa" w:w="2160"/>
          </w:tcPr>
          <w:p>
            <w:pPr>
              <w:spacing w:after="40"/>
            </w:pPr>
            <w:r/>
            <w:r>
              <w:rPr>
                <w:rFonts w:ascii="Calibri" w:hAnsi="Calibri"/>
                <w:sz w:val="19"/>
              </w:rPr>
              <w:t>Cost per completed task</w:t>
            </w:r>
          </w:p>
        </w:tc>
        <w:tc>
          <w:tcPr>
            <w:tcW w:type="dxa" w:w="3312"/>
          </w:tcPr>
          <w:p>
            <w:pPr>
              <w:spacing w:after="40"/>
            </w:pPr>
            <w:r/>
            <w:r>
              <w:rPr>
                <w:rFonts w:ascii="Calibri" w:hAnsi="Calibri"/>
                <w:sz w:val="19"/>
              </w:rPr>
              <w:t>Spend ÷ successful completions, trended</w:t>
            </w:r>
          </w:p>
        </w:tc>
        <w:tc>
          <w:tcPr>
            <w:tcW w:type="dxa" w:w="4176"/>
          </w:tcPr>
          <w:p>
            <w:pPr>
              <w:spacing w:after="40"/>
            </w:pPr>
            <w:r/>
            <w:r>
              <w:rPr>
                <w:rFonts w:ascii="Calibri" w:hAnsi="Calibri"/>
                <w:sz w:val="19"/>
              </w:rPr>
              <w:t>The CFO's number; falls as promotions accumulate</w:t>
            </w:r>
          </w:p>
        </w:tc>
      </w:tr>
      <w:tr>
        <w:tc>
          <w:tcPr>
            <w:tcW w:type="dxa" w:w="2160"/>
          </w:tcPr>
          <w:p>
            <w:pPr>
              <w:spacing w:after="40"/>
            </w:pPr>
            <w:r/>
            <w:r>
              <w:rPr>
                <w:rFonts w:ascii="Calibri" w:hAnsi="Calibri"/>
                <w:sz w:val="19"/>
              </w:rPr>
              <w:t>MTTH (mean time to heal)</w:t>
            </w:r>
          </w:p>
        </w:tc>
        <w:tc>
          <w:tcPr>
            <w:tcW w:type="dxa" w:w="3312"/>
          </w:tcPr>
          <w:p>
            <w:pPr>
              <w:spacing w:after="40"/>
            </w:pPr>
            <w:r/>
            <w:r>
              <w:rPr>
                <w:rFonts w:ascii="Calibri" w:hAnsi="Calibri"/>
                <w:sz w:val="19"/>
              </w:rPr>
              <w:t>Drift detected → healed in production</w:t>
            </w:r>
          </w:p>
        </w:tc>
        <w:tc>
          <w:tcPr>
            <w:tcW w:type="dxa" w:w="4176"/>
          </w:tcPr>
          <w:p>
            <w:pPr>
              <w:spacing w:after="40"/>
            </w:pPr>
            <w:r/>
            <w:r>
              <w:rPr>
                <w:rFonts w:ascii="Calibri" w:hAnsi="Calibri"/>
                <w:sz w:val="19"/>
              </w:rPr>
              <w:t>Days (human prompt-edit) → minutes (gated auto-promotion)</w:t>
            </w:r>
          </w:p>
        </w:tc>
      </w:tr>
      <w:tr>
        <w:tc>
          <w:tcPr>
            <w:tcW w:type="dxa" w:w="2160"/>
          </w:tcPr>
          <w:p>
            <w:pPr>
              <w:spacing w:after="40"/>
            </w:pPr>
            <w:r/>
            <w:r>
              <w:rPr>
                <w:rFonts w:ascii="Calibri" w:hAnsi="Calibri"/>
                <w:sz w:val="19"/>
              </w:rPr>
              <w:t>Auto-promotion rate</w:t>
            </w:r>
          </w:p>
        </w:tc>
        <w:tc>
          <w:tcPr>
            <w:tcW w:type="dxa" w:w="3312"/>
          </w:tcPr>
          <w:p>
            <w:pPr>
              <w:spacing w:after="40"/>
            </w:pPr>
            <w:r/>
            <w:r>
              <w:rPr>
                <w:rFonts w:ascii="Calibri" w:hAnsi="Calibri"/>
                <w:sz w:val="19"/>
              </w:rPr>
              <w:t>% behavior changes shipped by the gate with citations</w:t>
            </w:r>
          </w:p>
        </w:tc>
        <w:tc>
          <w:tcPr>
            <w:tcW w:type="dxa" w:w="4176"/>
          </w:tcPr>
          <w:p>
            <w:pPr>
              <w:spacing w:after="40"/>
            </w:pPr>
            <w:r/>
            <w:r>
              <w:rPr>
                <w:rFonts w:ascii="Calibri" w:hAnsi="Calibri"/>
                <w:sz w:val="19"/>
              </w:rPr>
              <w:t>Governance scaling without headcount</w:t>
            </w:r>
          </w:p>
        </w:tc>
      </w:tr>
      <w:tr>
        <w:tc>
          <w:tcPr>
            <w:tcW w:type="dxa" w:w="2160"/>
          </w:tcPr>
          <w:p>
            <w:pPr>
              <w:spacing w:after="40"/>
            </w:pPr>
            <w:r/>
            <w:r>
              <w:rPr>
                <w:rFonts w:ascii="Calibri" w:hAnsi="Calibri"/>
                <w:sz w:val="19"/>
              </w:rPr>
              <w:t>Audit answerability</w:t>
            </w:r>
          </w:p>
        </w:tc>
        <w:tc>
          <w:tcPr>
            <w:tcW w:type="dxa" w:w="3312"/>
          </w:tcPr>
          <w:p>
            <w:pPr>
              <w:spacing w:after="40"/>
            </w:pPr>
            <w:r/>
            <w:r>
              <w:rPr>
                <w:rFonts w:ascii="Calibri" w:hAnsi="Calibri"/>
                <w:sz w:val="19"/>
              </w:rPr>
              <w:t>% decisions with a complete why-chain</w:t>
            </w:r>
          </w:p>
        </w:tc>
        <w:tc>
          <w:tcPr>
            <w:tcW w:type="dxa" w:w="4176"/>
          </w:tcPr>
          <w:p>
            <w:pPr>
              <w:spacing w:after="40"/>
            </w:pPr>
            <w:r/>
            <w:r>
              <w:rPr>
                <w:rFonts w:ascii="Calibri" w:hAnsi="Calibri"/>
                <w:sz w:val="19"/>
              </w:rPr>
              <w:t>100% by construction — the regulator metric</w:t>
            </w:r>
          </w:p>
        </w:tc>
      </w:tr>
      <w:tr>
        <w:tc>
          <w:tcPr>
            <w:tcW w:type="dxa" w:w="2160"/>
          </w:tcPr>
          <w:p>
            <w:pPr>
              <w:spacing w:after="40"/>
            </w:pPr>
            <w:r/>
            <w:r>
              <w:rPr>
                <w:rFonts w:ascii="Calibri" w:hAnsi="Calibri"/>
                <w:sz w:val="19"/>
              </w:rPr>
              <w:t>MAST detection coverage</w:t>
            </w:r>
          </w:p>
        </w:tc>
        <w:tc>
          <w:tcPr>
            <w:tcW w:type="dxa" w:w="3312"/>
          </w:tcPr>
          <w:p>
            <w:pPr>
              <w:spacing w:after="40"/>
            </w:pPr>
            <w:r/>
            <w:r>
              <w:rPr>
                <w:rFonts w:ascii="Calibri" w:hAnsi="Calibri"/>
                <w:sz w:val="19"/>
              </w:rPr>
              <w:t>% of taxonomy failure modes detected on replayed traces</w:t>
            </w:r>
          </w:p>
        </w:tc>
        <w:tc>
          <w:tcPr>
            <w:tcW w:type="dxa" w:w="4176"/>
          </w:tcPr>
          <w:p>
            <w:pPr>
              <w:spacing w:after="40"/>
            </w:pPr>
            <w:r/>
            <w:r>
              <w:rPr>
                <w:rFonts w:ascii="Calibri" w:hAnsi="Calibri"/>
                <w:sz w:val="19"/>
              </w:rPr>
              <w:t>The benchmarked reliability claim, re-issued per release</w:t>
            </w:r>
          </w:p>
        </w:tc>
      </w:tr>
    </w:tbl>
    <w:p/>
    <w:p>
      <w:pPr>
        <w:pStyle w:val="Heading1"/>
      </w:pPr>
      <w:r>
        <w:t>9. Roadmap (26 Weeks, Six Phases)</w:t>
      </w:r>
    </w:p>
    <w:p>
      <w:r>
        <w:rPr>
          <w:b w:val="0"/>
          <w:i w:val="0"/>
        </w:rPr>
        <w:t>Each phase ends in buyer-visible value. Detail lives in the Evidence Loop plan; this is the reference summary.</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800"/>
          </w:tcPr>
          <w:p>
            <w:pPr>
              <w:spacing w:after="40"/>
            </w:pPr>
            <w:r/>
            <w:r>
              <w:rPr>
                <w:rFonts w:ascii="Segoe UI" w:hAnsi="Segoe UI"/>
                <w:b/>
                <w:color w:val="14805E"/>
                <w:sz w:val="18"/>
              </w:rPr>
              <w:t>Phase</w:t>
            </w:r>
          </w:p>
        </w:tc>
        <w:tc>
          <w:tcPr>
            <w:tcW w:type="dxa" w:w="864"/>
          </w:tcPr>
          <w:p>
            <w:pPr>
              <w:spacing w:after="40"/>
            </w:pPr>
            <w:r/>
            <w:r>
              <w:rPr>
                <w:rFonts w:ascii="Segoe UI" w:hAnsi="Segoe UI"/>
                <w:b/>
                <w:color w:val="14805E"/>
                <w:sz w:val="18"/>
              </w:rPr>
              <w:t>Weeks</w:t>
            </w:r>
          </w:p>
        </w:tc>
        <w:tc>
          <w:tcPr>
            <w:tcW w:type="dxa" w:w="3960"/>
          </w:tcPr>
          <w:p>
            <w:pPr>
              <w:spacing w:after="40"/>
            </w:pPr>
            <w:r/>
            <w:r>
              <w:rPr>
                <w:rFonts w:ascii="Segoe UI" w:hAnsi="Segoe UI"/>
                <w:b/>
                <w:color w:val="14805E"/>
                <w:sz w:val="18"/>
              </w:rPr>
              <w:t>Delivers</w:t>
            </w:r>
          </w:p>
        </w:tc>
        <w:tc>
          <w:tcPr>
            <w:tcW w:type="dxa" w:w="3024"/>
          </w:tcPr>
          <w:p>
            <w:pPr>
              <w:spacing w:after="40"/>
            </w:pPr>
            <w:r/>
            <w:r>
              <w:rPr>
                <w:rFonts w:ascii="Segoe UI" w:hAnsi="Segoe UI"/>
                <w:b/>
                <w:color w:val="14805E"/>
                <w:sz w:val="18"/>
              </w:rPr>
              <w:t>Exit proof</w:t>
            </w:r>
          </w:p>
        </w:tc>
      </w:tr>
      <w:tr>
        <w:tc>
          <w:tcPr>
            <w:tcW w:type="dxa" w:w="1800"/>
          </w:tcPr>
          <w:p>
            <w:pPr>
              <w:spacing w:after="40"/>
            </w:pPr>
            <w:r/>
            <w:r>
              <w:rPr>
                <w:rFonts w:ascii="Calibri" w:hAnsi="Calibri"/>
                <w:sz w:val="19"/>
              </w:rPr>
              <w:t>0 · Truth flows</w:t>
            </w:r>
          </w:p>
        </w:tc>
        <w:tc>
          <w:tcPr>
            <w:tcW w:type="dxa" w:w="864"/>
          </w:tcPr>
          <w:p>
            <w:pPr>
              <w:spacing w:after="40"/>
            </w:pPr>
            <w:r/>
            <w:r>
              <w:rPr>
                <w:rFonts w:ascii="Calibri" w:hAnsi="Calibri"/>
                <w:sz w:val="19"/>
              </w:rPr>
              <w:t>1–3</w:t>
            </w:r>
          </w:p>
        </w:tc>
        <w:tc>
          <w:tcPr>
            <w:tcW w:type="dxa" w:w="3960"/>
          </w:tcPr>
          <w:p>
            <w:pPr>
              <w:spacing w:after="40"/>
            </w:pPr>
            <w:r/>
            <w:r>
              <w:rPr>
                <w:rFonts w:ascii="Calibri" w:hAnsi="Calibri"/>
                <w:sz w:val="19"/>
              </w:rPr>
              <w:t>Auto-recorded typed outcomes; Memento-style case recall (first visible value); packaging, tests, loud failures</w:t>
            </w:r>
          </w:p>
        </w:tc>
        <w:tc>
          <w:tcPr>
            <w:tcW w:type="dxa" w:w="3024"/>
          </w:tcPr>
          <w:p>
            <w:pPr>
              <w:spacing w:after="40"/>
            </w:pPr>
            <w:r/>
            <w:r>
              <w:rPr>
                <w:rFonts w:ascii="Calibri" w:hAnsi="Calibri"/>
                <w:sz w:val="19"/>
              </w:rPr>
              <w:t>Every routed task yields a cited decision+outcome pair</w:t>
            </w:r>
          </w:p>
        </w:tc>
      </w:tr>
      <w:tr>
        <w:tc>
          <w:tcPr>
            <w:tcW w:type="dxa" w:w="1800"/>
          </w:tcPr>
          <w:p>
            <w:pPr>
              <w:spacing w:after="40"/>
            </w:pPr>
            <w:r/>
            <w:r>
              <w:rPr>
                <w:rFonts w:ascii="Calibri" w:hAnsi="Calibri"/>
                <w:sz w:val="19"/>
              </w:rPr>
              <w:t>1 · Evidence Gate</w:t>
            </w:r>
          </w:p>
        </w:tc>
        <w:tc>
          <w:tcPr>
            <w:tcW w:type="dxa" w:w="864"/>
          </w:tcPr>
          <w:p>
            <w:pPr>
              <w:spacing w:after="40"/>
            </w:pPr>
            <w:r/>
            <w:r>
              <w:rPr>
                <w:rFonts w:ascii="Calibri" w:hAnsi="Calibri"/>
                <w:sz w:val="19"/>
              </w:rPr>
              <w:t>3–8</w:t>
            </w:r>
          </w:p>
        </w:tc>
        <w:tc>
          <w:tcPr>
            <w:tcW w:type="dxa" w:w="3960"/>
          </w:tcPr>
          <w:p>
            <w:pPr>
              <w:spacing w:after="40"/>
            </w:pPr>
            <w:r/>
            <w:r>
              <w:rPr>
                <w:rFonts w:ascii="Calibri" w:hAnsi="Calibri"/>
                <w:sz w:val="19"/>
              </w:rPr>
              <w:t>Bayesian gate replaces scored policy; one unified proposal pipeline; paired-trajectory audit evidence</w:t>
            </w:r>
          </w:p>
        </w:tc>
        <w:tc>
          <w:tcPr>
            <w:tcW w:type="dxa" w:w="3024"/>
          </w:tcPr>
          <w:p>
            <w:pPr>
              <w:spacing w:after="40"/>
            </w:pPr>
            <w:r/>
            <w:r>
              <w:rPr>
                <w:rFonts w:ascii="Calibri" w:hAnsi="Calibri"/>
                <w:sz w:val="19"/>
              </w:rPr>
              <w:t>Same proposal blocked cold, auto-approved after N cited successes</w:t>
            </w:r>
          </w:p>
        </w:tc>
      </w:tr>
      <w:tr>
        <w:tc>
          <w:tcPr>
            <w:tcW w:type="dxa" w:w="1800"/>
          </w:tcPr>
          <w:p>
            <w:pPr>
              <w:spacing w:after="40"/>
            </w:pPr>
            <w:r/>
            <w:r>
              <w:rPr>
                <w:rFonts w:ascii="Calibri" w:hAnsi="Calibri"/>
                <w:sz w:val="19"/>
              </w:rPr>
              <w:t>2 · Handoff runtime</w:t>
            </w:r>
          </w:p>
        </w:tc>
        <w:tc>
          <w:tcPr>
            <w:tcW w:type="dxa" w:w="864"/>
          </w:tcPr>
          <w:p>
            <w:pPr>
              <w:spacing w:after="40"/>
            </w:pPr>
            <w:r/>
            <w:r>
              <w:rPr>
                <w:rFonts w:ascii="Calibri" w:hAnsi="Calibri"/>
                <w:sz w:val="19"/>
              </w:rPr>
              <w:t>8–14</w:t>
            </w:r>
          </w:p>
        </w:tc>
        <w:tc>
          <w:tcPr>
            <w:tcW w:type="dxa" w:w="3960"/>
          </w:tcPr>
          <w:p>
            <w:pPr>
              <w:spacing w:after="40"/>
            </w:pPr>
            <w:r/>
            <w:r>
              <w:rPr>
                <w:rFonts w:ascii="Calibri" w:hAnsi="Calibri"/>
                <w:sz w:val="19"/>
              </w:rPr>
              <w:t>Bounded multi-hop dispatch; chain healing; tool trust scores on the capability graph; MAST's top-2 failure modes addressed</w:t>
            </w:r>
          </w:p>
        </w:tc>
        <w:tc>
          <w:tcPr>
            <w:tcW w:type="dxa" w:w="3024"/>
          </w:tcPr>
          <w:p>
            <w:pPr>
              <w:spacing w:after="40"/>
            </w:pPr>
            <w:r/>
            <w:r>
              <w:rPr>
                <w:rFonts w:ascii="Calibri" w:hAnsi="Calibri"/>
                <w:sz w:val="19"/>
              </w:rPr>
              <w:t>Injected fault at hop 3 self-heals the following week</w:t>
            </w:r>
          </w:p>
        </w:tc>
      </w:tr>
      <w:tr>
        <w:tc>
          <w:tcPr>
            <w:tcW w:type="dxa" w:w="1800"/>
          </w:tcPr>
          <w:p>
            <w:pPr>
              <w:spacing w:after="40"/>
            </w:pPr>
            <w:r/>
            <w:r>
              <w:rPr>
                <w:rFonts w:ascii="Calibri" w:hAnsi="Calibri"/>
                <w:sz w:val="19"/>
              </w:rPr>
              <w:t>3 · Scale substrate</w:t>
            </w:r>
          </w:p>
        </w:tc>
        <w:tc>
          <w:tcPr>
            <w:tcW w:type="dxa" w:w="864"/>
          </w:tcPr>
          <w:p>
            <w:pPr>
              <w:spacing w:after="40"/>
            </w:pPr>
            <w:r/>
            <w:r>
              <w:rPr>
                <w:rFonts w:ascii="Calibri" w:hAnsi="Calibri"/>
                <w:sz w:val="19"/>
              </w:rPr>
              <w:t>14–20</w:t>
            </w:r>
          </w:p>
        </w:tc>
        <w:tc>
          <w:tcPr>
            <w:tcW w:type="dxa" w:w="3960"/>
          </w:tcPr>
          <w:p>
            <w:pPr>
              <w:spacing w:after="40"/>
            </w:pPr>
            <w:r/>
            <w:r>
              <w:rPr>
                <w:rFonts w:ascii="Calibri" w:hAnsi="Calibri"/>
                <w:sz w:val="19"/>
              </w:rPr>
              <w:t>Control/data-plane split; Postgres ledger; OTel GenAI conventions; A2A card interop; persistent-by-default memory</w:t>
            </w:r>
          </w:p>
        </w:tc>
        <w:tc>
          <w:tcPr>
            <w:tcW w:type="dxa" w:w="3024"/>
          </w:tcPr>
          <w:p>
            <w:pPr>
              <w:spacing w:after="40"/>
            </w:pPr>
            <w:r/>
            <w:r>
              <w:rPr>
                <w:rFonts w:ascii="Calibri" w:hAnsi="Calibri"/>
                <w:sz w:val="19"/>
              </w:rPr>
              <w:t>Route p50 &lt;10ms @ 1k agents; gate p50 &lt;5ms; crash-safe</w:t>
            </w:r>
          </w:p>
        </w:tc>
      </w:tr>
      <w:tr>
        <w:tc>
          <w:tcPr>
            <w:tcW w:type="dxa" w:w="1800"/>
          </w:tcPr>
          <w:p>
            <w:pPr>
              <w:spacing w:after="40"/>
            </w:pPr>
            <w:r/>
            <w:r>
              <w:rPr>
                <w:rFonts w:ascii="Calibri" w:hAnsi="Calibri"/>
                <w:sz w:val="19"/>
              </w:rPr>
              <w:t>4 · Value ledger</w:t>
            </w:r>
          </w:p>
        </w:tc>
        <w:tc>
          <w:tcPr>
            <w:tcW w:type="dxa" w:w="864"/>
          </w:tcPr>
          <w:p>
            <w:pPr>
              <w:spacing w:after="40"/>
            </w:pPr>
            <w:r/>
            <w:r>
              <w:rPr>
                <w:rFonts w:ascii="Calibri" w:hAnsi="Calibri"/>
                <w:sz w:val="19"/>
              </w:rPr>
              <w:t>20–26</w:t>
            </w:r>
          </w:p>
        </w:tc>
        <w:tc>
          <w:tcPr>
            <w:tcW w:type="dxa" w:w="3960"/>
          </w:tcPr>
          <w:p>
            <w:pPr>
              <w:spacing w:after="40"/>
            </w:pPr>
            <w:r/>
            <w:r>
              <w:rPr>
                <w:rFonts w:ascii="Calibri" w:hAnsi="Calibri"/>
                <w:sz w:val="19"/>
              </w:rPr>
              <w:t>ROI as query; reliability-slope dashboard; compliance pack; model-tier routing savings</w:t>
            </w:r>
          </w:p>
        </w:tc>
        <w:tc>
          <w:tcPr>
            <w:tcW w:type="dxa" w:w="3024"/>
          </w:tcPr>
          <w:p>
            <w:pPr>
              <w:spacing w:after="40"/>
            </w:pPr>
            <w:r/>
            <w:r>
              <w:rPr>
                <w:rFonts w:ascii="Calibri" w:hAnsi="Calibri"/>
                <w:sz w:val="19"/>
              </w:rPr>
              <w:t>The week-1 (71%, $0.48/task) vs week-8 (94%, $0.19/task) pilot report, all cited</w:t>
            </w:r>
          </w:p>
        </w:tc>
      </w:tr>
      <w:tr>
        <w:tc>
          <w:tcPr>
            <w:tcW w:type="dxa" w:w="1800"/>
          </w:tcPr>
          <w:p>
            <w:pPr>
              <w:spacing w:after="40"/>
            </w:pPr>
            <w:r/>
            <w:r>
              <w:rPr>
                <w:rFonts w:ascii="Calibri" w:hAnsi="Calibri"/>
                <w:sz w:val="19"/>
              </w:rPr>
              <w:t>5 · Ecosystem</w:t>
            </w:r>
          </w:p>
        </w:tc>
        <w:tc>
          <w:tcPr>
            <w:tcW w:type="dxa" w:w="864"/>
          </w:tcPr>
          <w:p>
            <w:pPr>
              <w:spacing w:after="40"/>
            </w:pPr>
            <w:r/>
            <w:r>
              <w:rPr>
                <w:rFonts w:ascii="Calibri" w:hAnsi="Calibri"/>
                <w:sz w:val="19"/>
              </w:rPr>
              <w:t>26+</w:t>
            </w:r>
          </w:p>
        </w:tc>
        <w:tc>
          <w:tcPr>
            <w:tcW w:type="dxa" w:w="3960"/>
          </w:tcPr>
          <w:p>
            <w:pPr>
              <w:spacing w:after="40"/>
            </w:pPr>
            <w:r/>
            <w:r>
              <w:rPr>
                <w:rFonts w:ascii="Calibri" w:hAnsi="Calibri"/>
                <w:sz w:val="19"/>
              </w:rPr>
              <w:t>CrewAI/AutoGen adapters; MCP-native healing; A2A disclosure extension; evidence federation (transfer_from)</w:t>
            </w:r>
          </w:p>
        </w:tc>
        <w:tc>
          <w:tcPr>
            <w:tcW w:type="dxa" w:w="3024"/>
          </w:tcPr>
          <w:p>
            <w:pPr>
              <w:spacing w:after="40"/>
            </w:pPr>
            <w:r/>
            <w:r>
              <w:rPr>
                <w:rFonts w:ascii="Calibri" w:hAnsi="Calibri"/>
                <w:sz w:val="19"/>
              </w:rPr>
              <w:t>Same workflow crosses frameworks; ledger and curve intact</w:t>
            </w:r>
          </w:p>
        </w:tc>
      </w:tr>
    </w:tbl>
    <w:p/>
    <w:p>
      <w:pPr>
        <w:pStyle w:val="Heading1"/>
      </w:pPr>
      <w:r>
        <w:t>10. Guiding Design Principles</w:t>
      </w:r>
    </w:p>
    <w:p>
      <w:pPr>
        <w:pStyle w:val="ListBullet"/>
      </w:pPr>
      <w:r>
        <w:rPr>
          <w:b/>
          <w:color w:val="14805E"/>
        </w:rPr>
        <w:t xml:space="preserve">Compile-time LLM &gt; runtime LLM — </w:t>
      </w:r>
      <w:r>
        <w:t>Learning happens offline; dispatch and governance are deterministic. LLMs propose; they never decide.</w:t>
      </w:r>
    </w:p>
    <w:p>
      <w:pPr>
        <w:pStyle w:val="ListBullet"/>
      </w:pPr>
      <w:r>
        <w:rPr>
          <w:b/>
          <w:color w:val="14805E"/>
        </w:rPr>
        <w:t xml:space="preserve">Detection-only governance — </w:t>
      </w:r>
      <w:r>
        <w:t>Detectors flag with structured, loud events; humans and evidence promote. Silent remediation destroys auditability and is prohibited.</w:t>
      </w:r>
    </w:p>
    <w:p>
      <w:pPr>
        <w:pStyle w:val="ListBullet"/>
      </w:pPr>
      <w:r>
        <w:rPr>
          <w:b/>
          <w:color w:val="14805E"/>
        </w:rPr>
        <w:t xml:space="preserve">Memory-grounded, cited, self-calibrating — </w:t>
      </w:r>
      <w:r>
        <w:t>Every governance decision reads from the ledger and writes back to it. No policy engines, no rule DSLs, no LLM opinions in the loop.</w:t>
      </w:r>
    </w:p>
    <w:p>
      <w:pPr>
        <w:pStyle w:val="ListBullet"/>
      </w:pPr>
      <w:r>
        <w:rPr>
          <w:b/>
          <w:color w:val="14805E"/>
        </w:rPr>
        <w:t xml:space="preserve">Silent plumbing, loud failures — </w:t>
      </w:r>
      <w:r>
        <w:t>Users author no JSON/YAML/protocol; peer awareness is automatic; every degradation is a flagged, visible event; choice is always additive — adding a path never removes one.</w:t>
      </w:r>
    </w:p>
    <w:p>
      <w:pPr>
        <w:pStyle w:val="ListBullet"/>
      </w:pPr>
      <w:r>
        <w:rPr>
          <w:b/>
          <w:color w:val="14805E"/>
        </w:rPr>
        <w:t xml:space="preserve">The flow is sacred — </w:t>
      </w:r>
      <w:r>
        <w:t>The developer-defined workflow topology is protected by constitution invariants that no accumulated evidence can override.</w:t>
      </w:r>
    </w:p>
    <w:p>
      <w:pPr>
        <w:pStyle w:val="ListBullet"/>
      </w:pPr>
      <w:r>
        <w:rPr>
          <w:b/>
          <w:color w:val="14805E"/>
        </w:rPr>
        <w:t xml:space="preserve">Ride standards, own the evidence — </w:t>
      </w:r>
      <w:r>
        <w:t>OTel GenAI, A2A, MCP, PROV-O are adopted, not reinvented. The evidence loop is the only proprietary thing, and it is the moat.</w:t>
      </w:r>
    </w:p>
    <w:p>
      <w:pPr>
        <w:pStyle w:val="Heading1"/>
      </w:pPr>
      <w:r>
        <w:t>11. Scope</w:t>
      </w:r>
    </w:p>
    <w:p>
      <w:pPr>
        <w:pStyle w:val="Heading2"/>
      </w:pPr>
      <w:r>
        <w:t>11.1 In scope</w:t>
      </w:r>
    </w:p>
    <w:p>
      <w:pPr>
        <w:pStyle w:val="ListBullet"/>
      </w:pPr>
      <w:r>
        <w:t>The reliability/governance control plane and embedded data plane described in Section 4.4, across the five capability stages.</w:t>
      </w:r>
    </w:p>
    <w:p>
      <w:pPr>
        <w:pStyle w:val="ListBullet"/>
      </w:pPr>
      <w:r>
        <w:t>Adapters for LangGraph/LangChain (first), CrewAI and AutoGen (Phase 5), MCP tools, A2A remote agents, and plain callables.</w:t>
      </w:r>
    </w:p>
    <w:p>
      <w:pPr>
        <w:pStyle w:val="ListBullet"/>
      </w:pPr>
      <w:r>
        <w:t>Mnema as both the graxella substrate and a standalone open-source memory engine (dual life is intentional).</w:t>
      </w:r>
    </w:p>
    <w:p>
      <w:pPr>
        <w:pStyle w:val="ListBullet"/>
      </w:pPr>
      <w:r>
        <w:t>The value ledger, compliance pack, and MAST regression suite.</w:t>
      </w:r>
    </w:p>
    <w:p>
      <w:pPr>
        <w:pStyle w:val="Heading2"/>
      </w:pPr>
      <w:r>
        <w:t>11.2 Out of scope</w:t>
      </w:r>
    </w:p>
    <w:p>
      <w:pPr>
        <w:pStyle w:val="ListBullet"/>
      </w:pPr>
      <w:r>
        <w:t>Authoring frameworks: graxella will not invent an agent-definition syntax or compete with LangGraph/CrewAI for workflow authorship.</w:t>
      </w:r>
    </w:p>
    <w:p>
      <w:pPr>
        <w:pStyle w:val="ListBullet"/>
      </w:pPr>
      <w:r>
        <w:t>Model serving/hosting, GPU infrastructure, fine-tuning pipelines.</w:t>
      </w:r>
    </w:p>
    <w:p>
      <w:pPr>
        <w:pStyle w:val="ListBullet"/>
      </w:pPr>
      <w:r>
        <w:t>Gateway plumbing (federation, authN/Z proxying) — delegated to the MCP gateway ecosystem; graxella integrates above it.</w:t>
      </w:r>
    </w:p>
    <w:p>
      <w:pPr>
        <w:pStyle w:val="ListBullet"/>
      </w:pPr>
      <w:r>
        <w:t>Autonomous flow rewriting: the system never restructures the user's workflow topology, by principle, not just by phase.</w:t>
      </w:r>
    </w:p>
    <w:p>
      <w:pPr>
        <w:pStyle w:val="Heading1"/>
      </w:pPr>
      <w:r>
        <w:t>12. Component Inventory</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944"/>
          </w:tcPr>
          <w:p>
            <w:pPr>
              <w:spacing w:after="40"/>
            </w:pPr>
            <w:r/>
            <w:r>
              <w:rPr>
                <w:rFonts w:ascii="Segoe UI" w:hAnsi="Segoe UI"/>
                <w:b/>
                <w:color w:val="14805E"/>
                <w:sz w:val="18"/>
              </w:rPr>
              <w:t>Component</w:t>
            </w:r>
          </w:p>
        </w:tc>
        <w:tc>
          <w:tcPr>
            <w:tcW w:type="dxa" w:w="1944"/>
          </w:tcPr>
          <w:p>
            <w:pPr>
              <w:spacing w:after="40"/>
            </w:pPr>
            <w:r/>
            <w:r>
              <w:rPr>
                <w:rFonts w:ascii="Segoe UI" w:hAnsi="Segoe UI"/>
                <w:b/>
                <w:color w:val="14805E"/>
                <w:sz w:val="18"/>
              </w:rPr>
              <w:t>Origin</w:t>
            </w:r>
          </w:p>
        </w:tc>
        <w:tc>
          <w:tcPr>
            <w:tcW w:type="dxa" w:w="4176"/>
          </w:tcPr>
          <w:p>
            <w:pPr>
              <w:spacing w:after="40"/>
            </w:pPr>
            <w:r/>
            <w:r>
              <w:rPr>
                <w:rFonts w:ascii="Segoe UI" w:hAnsi="Segoe UI"/>
                <w:b/>
                <w:color w:val="14805E"/>
                <w:sz w:val="18"/>
              </w:rPr>
              <w:t>Role in graxella</w:t>
            </w:r>
          </w:p>
        </w:tc>
        <w:tc>
          <w:tcPr>
            <w:tcW w:type="dxa" w:w="2448"/>
          </w:tcPr>
          <w:p>
            <w:pPr>
              <w:spacing w:after="40"/>
            </w:pPr>
            <w:r/>
            <w:r>
              <w:rPr>
                <w:rFonts w:ascii="Segoe UI" w:hAnsi="Segoe UI"/>
                <w:b/>
                <w:color w:val="14805E"/>
                <w:sz w:val="18"/>
              </w:rPr>
              <w:t>Status (Aug 2026)</w:t>
            </w:r>
          </w:p>
        </w:tc>
      </w:tr>
      <w:tr>
        <w:tc>
          <w:tcPr>
            <w:tcW w:type="dxa" w:w="1944"/>
          </w:tcPr>
          <w:p>
            <w:pPr>
              <w:spacing w:after="40"/>
            </w:pPr>
            <w:r/>
            <w:r>
              <w:rPr>
                <w:rFonts w:ascii="Calibri" w:hAnsi="Calibri"/>
                <w:sz w:val="19"/>
              </w:rPr>
              <w:t>graxella core</w:t>
            </w:r>
          </w:p>
        </w:tc>
        <w:tc>
          <w:tcPr>
            <w:tcW w:type="dxa" w:w="1944"/>
          </w:tcPr>
          <w:p>
            <w:pPr>
              <w:spacing w:after="40"/>
            </w:pPr>
            <w:r/>
            <w:r>
              <w:rPr>
                <w:rFonts w:ascii="Calibri" w:hAnsi="Calibri"/>
                <w:sz w:val="19"/>
              </w:rPr>
              <w:t>Umbrella package</w:t>
            </w:r>
          </w:p>
        </w:tc>
        <w:tc>
          <w:tcPr>
            <w:tcW w:type="dxa" w:w="4176"/>
          </w:tcPr>
          <w:p>
            <w:pPr>
              <w:spacing w:after="40"/>
            </w:pPr>
            <w:r/>
            <w:r>
              <w:rPr>
                <w:rFonts w:ascii="Calibri" w:hAnsi="Calibri"/>
                <w:sz w:val="19"/>
              </w:rPr>
              <w:t>mesh/instrument wrap, Society routing facade, gate, constitution, tracer, healing dispatch, agenda miners, PROV-O audit, CLI</w:t>
            </w:r>
          </w:p>
        </w:tc>
        <w:tc>
          <w:tcPr>
            <w:tcW w:type="dxa" w:w="2448"/>
          </w:tcPr>
          <w:p>
            <w:pPr>
              <w:spacing w:after="40"/>
            </w:pPr>
            <w:r/>
            <w:r>
              <w:rPr>
                <w:rFonts w:ascii="Calibri" w:hAnsi="Calibri"/>
                <w:sz w:val="19"/>
              </w:rPr>
              <w:t>Phases 1–7 code-complete; Phase 0 hardening owed (tests, packaging, closed loop)</w:t>
            </w:r>
          </w:p>
        </w:tc>
      </w:tr>
      <w:tr>
        <w:tc>
          <w:tcPr>
            <w:tcW w:type="dxa" w:w="1944"/>
          </w:tcPr>
          <w:p>
            <w:pPr>
              <w:spacing w:after="40"/>
            </w:pPr>
            <w:r/>
            <w:r>
              <w:rPr>
                <w:rFonts w:ascii="Calibri" w:hAnsi="Calibri"/>
                <w:sz w:val="19"/>
              </w:rPr>
              <w:t>mnema (B12)</w:t>
            </w:r>
          </w:p>
        </w:tc>
        <w:tc>
          <w:tcPr>
            <w:tcW w:type="dxa" w:w="1944"/>
          </w:tcPr>
          <w:p>
            <w:pPr>
              <w:spacing w:after="40"/>
            </w:pPr>
            <w:r/>
            <w:r>
              <w:rPr>
                <w:rFonts w:ascii="Calibri" w:hAnsi="Calibri"/>
                <w:sz w:val="19"/>
              </w:rPr>
              <w:t>Memory intelligence block</w:t>
            </w:r>
          </w:p>
        </w:tc>
        <w:tc>
          <w:tcPr>
            <w:tcW w:type="dxa" w:w="4176"/>
          </w:tcPr>
          <w:p>
            <w:pPr>
              <w:spacing w:after="40"/>
            </w:pPr>
            <w:r/>
            <w:r>
              <w:rPr>
                <w:rFonts w:ascii="Calibri" w:hAnsi="Calibri"/>
                <w:sz w:val="19"/>
              </w:rPr>
              <w:t>Immutable belief ledger: typed assertions, bi-temporality, provenance, retraction cascade, consolidation, why()/timeline()</w:t>
            </w:r>
          </w:p>
        </w:tc>
        <w:tc>
          <w:tcPr>
            <w:tcW w:type="dxa" w:w="2448"/>
          </w:tcPr>
          <w:p>
            <w:pPr>
              <w:spacing w:after="40"/>
            </w:pPr>
            <w:r/>
            <w:r>
              <w:rPr>
                <w:rFonts w:ascii="Calibri" w:hAnsi="Calibri"/>
                <w:sz w:val="19"/>
              </w:rPr>
              <w:t>Strongest component; property-tested, CI, LongMemEval harness</w:t>
            </w:r>
          </w:p>
        </w:tc>
      </w:tr>
      <w:tr>
        <w:tc>
          <w:tcPr>
            <w:tcW w:type="dxa" w:w="1944"/>
          </w:tcPr>
          <w:p>
            <w:pPr>
              <w:spacing w:after="40"/>
            </w:pPr>
            <w:r/>
            <w:r>
              <w:rPr>
                <w:rFonts w:ascii="Calibri" w:hAnsi="Calibri"/>
                <w:sz w:val="19"/>
              </w:rPr>
              <w:t>agent2society (B11)</w:t>
            </w:r>
          </w:p>
        </w:tc>
        <w:tc>
          <w:tcPr>
            <w:tcW w:type="dxa" w:w="1944"/>
          </w:tcPr>
          <w:p>
            <w:pPr>
              <w:spacing w:after="40"/>
            </w:pPr>
            <w:r/>
            <w:r>
              <w:rPr>
                <w:rFonts w:ascii="Calibri" w:hAnsi="Calibri"/>
                <w:sz w:val="19"/>
              </w:rPr>
              <w:t>A2A layer block</w:t>
            </w:r>
          </w:p>
        </w:tc>
        <w:tc>
          <w:tcPr>
            <w:tcW w:type="dxa" w:w="4176"/>
          </w:tcPr>
          <w:p>
            <w:pPr>
              <w:spacing w:after="40"/>
            </w:pPr>
            <w:r/>
            <w:r>
              <w:rPr>
                <w:rFonts w:ascii="Calibri" w:hAnsi="Calibri"/>
                <w:sz w:val="19"/>
              </w:rPr>
              <w:t>Deterministic routing with audit features, Handoff envelope, conformance, governance detectors, explanation store, backtest-gated optimizer</w:t>
            </w:r>
          </w:p>
        </w:tc>
        <w:tc>
          <w:tcPr>
            <w:tcW w:type="dxa" w:w="2448"/>
          </w:tcPr>
          <w:p>
            <w:pPr>
              <w:spacing w:after="40"/>
            </w:pPr>
            <w:r/>
            <w:r>
              <w:rPr>
                <w:rFonts w:ascii="Calibri" w:hAnsi="Calibri"/>
                <w:sz w:val="19"/>
              </w:rPr>
              <w:t>Shipped with 15-file test suite; vendored under graxella</w:t>
            </w:r>
          </w:p>
        </w:tc>
      </w:tr>
      <w:tr>
        <w:tc>
          <w:tcPr>
            <w:tcW w:type="dxa" w:w="1944"/>
          </w:tcPr>
          <w:p>
            <w:pPr>
              <w:spacing w:after="40"/>
            </w:pPr>
            <w:r/>
            <w:r>
              <w:rPr>
                <w:rFonts w:ascii="Calibri" w:hAnsi="Calibri"/>
                <w:sz w:val="19"/>
              </w:rPr>
              <w:t>axon tool fabric (B8 + B10)</w:t>
            </w:r>
          </w:p>
        </w:tc>
        <w:tc>
          <w:tcPr>
            <w:tcW w:type="dxa" w:w="1944"/>
          </w:tcPr>
          <w:p>
            <w:pPr>
              <w:spacing w:after="40"/>
            </w:pPr>
            <w:r/>
            <w:r>
              <w:rPr>
                <w:rFonts w:ascii="Calibri" w:hAnsi="Calibri"/>
                <w:sz w:val="19"/>
              </w:rPr>
              <w:t>MCP orchestration + self-healing blocks</w:t>
            </w:r>
          </w:p>
        </w:tc>
        <w:tc>
          <w:tcPr>
            <w:tcW w:type="dxa" w:w="4176"/>
          </w:tcPr>
          <w:p>
            <w:pPr>
              <w:spacing w:after="40"/>
            </w:pPr>
            <w:r/>
            <w:r>
              <w:rPr>
                <w:rFonts w:ascii="Calibri" w:hAnsi="Calibri"/>
                <w:sz w:val="19"/>
              </w:rPr>
              <w:t>Tool knowledge graph and semantic discovery (B8); drift interception, healer→compiler→verifier transforms, federated registry, sentinel (canary/shadow/differ/forecaster), EU AI Act policy pack (B10)</w:t>
            </w:r>
          </w:p>
        </w:tc>
        <w:tc>
          <w:tcPr>
            <w:tcW w:type="dxa" w:w="2448"/>
          </w:tcPr>
          <w:p>
            <w:pPr>
              <w:spacing w:after="40"/>
            </w:pPr>
            <w:r/>
            <w:r>
              <w:rPr>
                <w:rFonts w:ascii="Calibri" w:hAnsi="Calibri"/>
                <w:sz w:val="19"/>
              </w:rPr>
              <w:t>B10 production-shaped, to be integrated behind the gate; B8 archived as R&amp;D, concepts ported</w:t>
            </w:r>
          </w:p>
        </w:tc>
      </w:tr>
      <w:tr>
        <w:tc>
          <w:tcPr>
            <w:tcW w:type="dxa" w:w="1944"/>
          </w:tcPr>
          <w:p>
            <w:pPr>
              <w:spacing w:after="40"/>
            </w:pPr>
            <w:r/>
            <w:r>
              <w:rPr>
                <w:rFonts w:ascii="Calibri" w:hAnsi="Calibri"/>
                <w:sz w:val="19"/>
              </w:rPr>
              <w:t>Evidence Gate</w:t>
            </w:r>
          </w:p>
        </w:tc>
        <w:tc>
          <w:tcPr>
            <w:tcW w:type="dxa" w:w="1944"/>
          </w:tcPr>
          <w:p>
            <w:pPr>
              <w:spacing w:after="40"/>
            </w:pPr>
            <w:r/>
            <w:r>
              <w:rPr>
                <w:rFonts w:ascii="Calibri" w:hAnsi="Calibri"/>
                <w:sz w:val="19"/>
              </w:rPr>
              <w:t>New (Phase 1)</w:t>
            </w:r>
          </w:p>
        </w:tc>
        <w:tc>
          <w:tcPr>
            <w:tcW w:type="dxa" w:w="4176"/>
          </w:tcPr>
          <w:p>
            <w:pPr>
              <w:spacing w:after="40"/>
            </w:pPr>
            <w:r/>
            <w:r>
              <w:rPr>
                <w:rFonts w:ascii="Calibri" w:hAnsi="Calibri"/>
                <w:sz w:val="19"/>
              </w:rPr>
              <w:t>Bayesian promotion decisions from ledger priors per (domain, kind, model); replaces the interim scored GatePolicy</w:t>
            </w:r>
          </w:p>
        </w:tc>
        <w:tc>
          <w:tcPr>
            <w:tcW w:type="dxa" w:w="2448"/>
          </w:tcPr>
          <w:p>
            <w:pPr>
              <w:spacing w:after="40"/>
            </w:pPr>
            <w:r/>
            <w:r>
              <w:rPr>
                <w:rFonts w:ascii="Calibri" w:hAnsi="Calibri"/>
                <w:sz w:val="19"/>
              </w:rPr>
              <w:t>Designed (see gate design note); the current scored implementation is explicitly interim</w:t>
            </w:r>
          </w:p>
        </w:tc>
      </w:tr>
    </w:tbl>
    <w:p/>
    <w:p>
      <w:pPr>
        <w:pStyle w:val="Heading1"/>
      </w:pPr>
      <w:r>
        <w:t>13. Risks and Mitigations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448"/>
          </w:tcPr>
          <w:p>
            <w:pPr>
              <w:spacing w:after="40"/>
            </w:pPr>
            <w:r/>
            <w:r>
              <w:rPr>
                <w:rFonts w:ascii="Segoe UI" w:hAnsi="Segoe UI"/>
                <w:b/>
                <w:color w:val="14805E"/>
                <w:sz w:val="18"/>
              </w:rPr>
              <w:t>Risk</w:t>
            </w:r>
          </w:p>
        </w:tc>
        <w:tc>
          <w:tcPr>
            <w:tcW w:type="dxa" w:w="2880"/>
          </w:tcPr>
          <w:p>
            <w:pPr>
              <w:spacing w:after="40"/>
            </w:pPr>
            <w:r/>
            <w:r>
              <w:rPr>
                <w:rFonts w:ascii="Segoe UI" w:hAnsi="Segoe UI"/>
                <w:b/>
                <w:color w:val="14805E"/>
                <w:sz w:val="18"/>
              </w:rPr>
              <w:t>Impact</w:t>
            </w:r>
          </w:p>
        </w:tc>
        <w:tc>
          <w:tcPr>
            <w:tcW w:type="dxa" w:w="4320"/>
          </w:tcPr>
          <w:p>
            <w:pPr>
              <w:spacing w:after="40"/>
            </w:pPr>
            <w:r/>
            <w:r>
              <w:rPr>
                <w:rFonts w:ascii="Segoe UI" w:hAnsi="Segoe UI"/>
                <w:b/>
                <w:color w:val="14805E"/>
                <w:sz w:val="18"/>
              </w:rPr>
              <w:t>Mitigation</w:t>
            </w:r>
          </w:p>
        </w:tc>
      </w:tr>
      <w:tr>
        <w:tc>
          <w:tcPr>
            <w:tcW w:type="dxa" w:w="2448"/>
          </w:tcPr>
          <w:p>
            <w:pPr>
              <w:spacing w:after="40"/>
            </w:pPr>
            <w:r/>
            <w:r>
              <w:rPr>
                <w:rFonts w:ascii="Calibri" w:hAnsi="Calibri"/>
                <w:sz w:val="19"/>
              </w:rPr>
              <w:t>Cold start: no evidence, no value</w:t>
            </w:r>
          </w:p>
        </w:tc>
        <w:tc>
          <w:tcPr>
            <w:tcW w:type="dxa" w:w="2880"/>
          </w:tcPr>
          <w:p>
            <w:pPr>
              <w:spacing w:after="40"/>
            </w:pPr>
            <w:r/>
            <w:r>
              <w:rPr>
                <w:rFonts w:ascii="Calibri" w:hAnsi="Calibri"/>
                <w:sz w:val="19"/>
              </w:rPr>
              <w:t>New deployments see governance friction before compounding kicks in</w:t>
            </w:r>
          </w:p>
        </w:tc>
        <w:tc>
          <w:tcPr>
            <w:tcW w:type="dxa" w:w="4320"/>
          </w:tcPr>
          <w:p>
            <w:pPr>
              <w:spacing w:after="40"/>
            </w:pPr>
            <w:r/>
            <w:r>
              <w:rPr>
                <w:rFonts w:ascii="Calibri" w:hAnsi="Calibri"/>
                <w:sz w:val="19"/>
              </w:rPr>
              <w:t>Phase 0 case recall gives value from week one; observe-only adoption step carries zero risk; transfer_from seeds warm priors from sibling domains</w:t>
            </w:r>
          </w:p>
        </w:tc>
      </w:tr>
      <w:tr>
        <w:tc>
          <w:tcPr>
            <w:tcW w:type="dxa" w:w="2448"/>
          </w:tcPr>
          <w:p>
            <w:pPr>
              <w:spacing w:after="40"/>
            </w:pPr>
            <w:r/>
            <w:r>
              <w:rPr>
                <w:rFonts w:ascii="Calibri" w:hAnsi="Calibri"/>
                <w:sz w:val="19"/>
              </w:rPr>
              <w:t>Evidence poisoning / gaming</w:t>
            </w:r>
          </w:p>
        </w:tc>
        <w:tc>
          <w:tcPr>
            <w:tcW w:type="dxa" w:w="2880"/>
          </w:tcPr>
          <w:p>
            <w:pPr>
              <w:spacing w:after="40"/>
            </w:pPr>
            <w:r/>
            <w:r>
              <w:rPr>
                <w:rFonts w:ascii="Calibri" w:hAnsi="Calibri"/>
                <w:sz w:val="19"/>
              </w:rPr>
              <w:t>Attacker or flaky agent floods ledger with fake positives to loosen gates</w:t>
            </w:r>
          </w:p>
        </w:tc>
        <w:tc>
          <w:tcPr>
            <w:tcW w:type="dxa" w:w="4320"/>
          </w:tcPr>
          <w:p>
            <w:pPr>
              <w:spacing w:after="40"/>
            </w:pPr>
            <w:r/>
            <w:r>
              <w:rPr>
                <w:rFonts w:ascii="Calibri" w:hAnsi="Calibri"/>
                <w:sz w:val="19"/>
              </w:rPr>
              <w:t>Provenance-diversity floor (≥K independent sessions/operators); constitution hard blocks are never evidence-overridable; immutable ledger makes tampering visible</w:t>
            </w:r>
          </w:p>
        </w:tc>
      </w:tr>
      <w:tr>
        <w:tc>
          <w:tcPr>
            <w:tcW w:type="dxa" w:w="2448"/>
          </w:tcPr>
          <w:p>
            <w:pPr>
              <w:spacing w:after="40"/>
            </w:pPr>
            <w:r/>
            <w:r>
              <w:rPr>
                <w:rFonts w:ascii="Calibri" w:hAnsi="Calibri"/>
                <w:sz w:val="19"/>
              </w:rPr>
              <w:t>Framework API churn breaks adapters</w:t>
            </w:r>
          </w:p>
        </w:tc>
        <w:tc>
          <w:tcPr>
            <w:tcW w:type="dxa" w:w="2880"/>
          </w:tcPr>
          <w:p>
            <w:pPr>
              <w:spacing w:after="40"/>
            </w:pPr>
            <w:r/>
            <w:r>
              <w:rPr>
                <w:rFonts w:ascii="Calibri" w:hAnsi="Calibri"/>
                <w:sz w:val="19"/>
              </w:rPr>
              <w:t>Duck-typed integration points (e.g., LangGraph internals) drift</w:t>
            </w:r>
          </w:p>
        </w:tc>
        <w:tc>
          <w:tcPr>
            <w:tcW w:type="dxa" w:w="4320"/>
          </w:tcPr>
          <w:p>
            <w:pPr>
              <w:spacing w:after="40"/>
            </w:pPr>
            <w:r/>
            <w:r>
              <w:rPr>
                <w:rFonts w:ascii="Calibri" w:hAnsi="Calibri"/>
                <w:sz w:val="19"/>
              </w:rPr>
              <w:t>Adapter contract tests pinned per framework version in CI (Phase 0); adapters are the only churn surface by design</w:t>
            </w:r>
          </w:p>
        </w:tc>
      </w:tr>
      <w:tr>
        <w:tc>
          <w:tcPr>
            <w:tcW w:type="dxa" w:w="2448"/>
          </w:tcPr>
          <w:p>
            <w:pPr>
              <w:spacing w:after="40"/>
            </w:pPr>
            <w:r/>
            <w:r>
              <w:rPr>
                <w:rFonts w:ascii="Calibri" w:hAnsi="Calibri"/>
                <w:sz w:val="19"/>
              </w:rPr>
              <w:t>Category confusion ('another framework?')</w:t>
            </w:r>
          </w:p>
        </w:tc>
        <w:tc>
          <w:tcPr>
            <w:tcW w:type="dxa" w:w="2880"/>
          </w:tcPr>
          <w:p>
            <w:pPr>
              <w:spacing w:after="40"/>
            </w:pPr>
            <w:r/>
            <w:r>
              <w:rPr>
                <w:rFonts w:ascii="Calibri" w:hAnsi="Calibri"/>
                <w:sz w:val="19"/>
              </w:rPr>
              <w:t>Positioning collapses into the crowded orchestration shelf</w:t>
            </w:r>
          </w:p>
        </w:tc>
        <w:tc>
          <w:tcPr>
            <w:tcW w:type="dxa" w:w="4320"/>
          </w:tcPr>
          <w:p>
            <w:pPr>
              <w:spacing w:after="40"/>
            </w:pPr>
            <w:r/>
            <w:r>
              <w:rPr>
                <w:rFonts w:ascii="Calibri" w:hAnsi="Calibri"/>
                <w:sz w:val="19"/>
              </w:rPr>
              <w:t>Discipline in Section 6's seat map; never ship an authoring syntax; lead with control-plane language and the reliability slope</w:t>
            </w:r>
          </w:p>
        </w:tc>
      </w:tr>
      <w:tr>
        <w:tc>
          <w:tcPr>
            <w:tcW w:type="dxa" w:w="2448"/>
          </w:tcPr>
          <w:p>
            <w:pPr>
              <w:spacing w:after="40"/>
            </w:pPr>
            <w:r/>
            <w:r>
              <w:rPr>
                <w:rFonts w:ascii="Calibri" w:hAnsi="Calibri"/>
                <w:sz w:val="19"/>
              </w:rPr>
              <w:t>Scored-gate interim ossifies</w:t>
            </w:r>
          </w:p>
        </w:tc>
        <w:tc>
          <w:tcPr>
            <w:tcW w:type="dxa" w:w="2880"/>
          </w:tcPr>
          <w:p>
            <w:pPr>
              <w:spacing w:after="40"/>
            </w:pPr>
            <w:r/>
            <w:r>
              <w:rPr>
                <w:rFonts w:ascii="Calibri" w:hAnsi="Calibri"/>
                <w:sz w:val="19"/>
              </w:rPr>
              <w:t>The rejected GatePolicy design gets mistaken for the product</w:t>
            </w:r>
          </w:p>
        </w:tc>
        <w:tc>
          <w:tcPr>
            <w:tcW w:type="dxa" w:w="4320"/>
          </w:tcPr>
          <w:p>
            <w:pPr>
              <w:spacing w:after="40"/>
            </w:pPr>
            <w:r/>
            <w:r>
              <w:rPr>
                <w:rFonts w:ascii="Calibri" w:hAnsi="Calibri"/>
                <w:sz w:val="19"/>
              </w:rPr>
              <w:t>Charter and code mark it interim; Phase 1 replaces it; the gate design note is the binding spec</w:t>
            </w:r>
          </w:p>
        </w:tc>
      </w:tr>
      <w:tr>
        <w:tc>
          <w:tcPr>
            <w:tcW w:type="dxa" w:w="2448"/>
          </w:tcPr>
          <w:p>
            <w:pPr>
              <w:spacing w:after="40"/>
            </w:pPr>
            <w:r/>
            <w:r>
              <w:rPr>
                <w:rFonts w:ascii="Calibri" w:hAnsi="Calibri"/>
                <w:sz w:val="19"/>
              </w:rPr>
              <w:t>Scale substrate arrives late</w:t>
            </w:r>
          </w:p>
        </w:tc>
        <w:tc>
          <w:tcPr>
            <w:tcW w:type="dxa" w:w="2880"/>
          </w:tcPr>
          <w:p>
            <w:pPr>
              <w:spacing w:after="40"/>
            </w:pPr>
            <w:r/>
            <w:r>
              <w:rPr>
                <w:rFonts w:ascii="Calibri" w:hAnsi="Calibri"/>
                <w:sz w:val="19"/>
              </w:rPr>
              <w:t>A successful pilot dies at the scale-up meeting on SQLite/JSONL</w:t>
            </w:r>
          </w:p>
        </w:tc>
        <w:tc>
          <w:tcPr>
            <w:tcW w:type="dxa" w:w="4320"/>
          </w:tcPr>
          <w:p>
            <w:pPr>
              <w:spacing w:after="40"/>
            </w:pPr>
            <w:r/>
            <w:r>
              <w:rPr>
                <w:rFonts w:ascii="Calibri" w:hAnsi="Calibri"/>
                <w:sz w:val="19"/>
              </w:rPr>
              <w:t>Phase 3 is scheduled before the value-ledger sales motion (Phase 4); perf targets are exit criteria, not aspirations</w:t>
            </w:r>
          </w:p>
        </w:tc>
      </w:tr>
      <w:tr>
        <w:tc>
          <w:tcPr>
            <w:tcW w:type="dxa" w:w="2448"/>
          </w:tcPr>
          <w:p>
            <w:pPr>
              <w:spacing w:after="40"/>
            </w:pPr>
            <w:r/>
            <w:r>
              <w:rPr>
                <w:rFonts w:ascii="Calibri" w:hAnsi="Calibri"/>
                <w:sz w:val="19"/>
              </w:rPr>
              <w:t>Solo-founder bandwidth</w:t>
            </w:r>
          </w:p>
        </w:tc>
        <w:tc>
          <w:tcPr>
            <w:tcW w:type="dxa" w:w="2880"/>
          </w:tcPr>
          <w:p>
            <w:pPr>
              <w:spacing w:after="40"/>
            </w:pPr>
            <w:r/>
            <w:r>
              <w:rPr>
                <w:rFonts w:ascii="Calibri" w:hAnsi="Calibri"/>
                <w:sz w:val="19"/>
              </w:rPr>
              <w:t>Six phases across five components is a platform-company workload</w:t>
            </w:r>
          </w:p>
        </w:tc>
        <w:tc>
          <w:tcPr>
            <w:tcW w:type="dxa" w:w="4320"/>
          </w:tcPr>
          <w:p>
            <w:pPr>
              <w:spacing w:after="40"/>
            </w:pPr>
            <w:r/>
            <w:r>
              <w:rPr>
                <w:rFonts w:ascii="Calibri" w:hAnsi="Calibri"/>
                <w:sz w:val="19"/>
              </w:rPr>
              <w:t>Phase discipline (each stage reaches demo-with-evidence before the next); adopt-not-build shortlist (DSPy, LiteLLM, OTel, A2A SDK, Graphiti-watch) keeps surface area honest</w:t>
            </w:r>
          </w:p>
        </w:tc>
      </w:tr>
    </w:tbl>
    <w:p/>
    <w:p>
      <w:pPr>
        <w:pStyle w:val="Heading1"/>
      </w:pPr>
      <w:r>
        <w:t>14. Reference Documents</w:t>
      </w:r>
    </w:p>
    <w:p>
      <w:pPr>
        <w:pStyle w:val="ListBullet"/>
      </w:pPr>
      <w:r>
        <w:t>The Evidence Loop — program strategy and 26-week plan (artifact: claude.ai/code/artifact/bd7ac6a1-4588-4c6d-8d77-b47b66e5881f)</w:t>
      </w:r>
    </w:p>
    <w:p>
      <w:pPr>
        <w:pStyle w:val="ListBullet"/>
      </w:pPr>
      <w:r>
        <w:t>Graxella Research Radar — papers/OSS adopt-borrow-watch sweep (artifact: claude.ai/code/artifact/603d25fa-95e4-4485-b7c4-3b50f50bc97f)</w:t>
      </w:r>
    </w:p>
    <w:p>
      <w:pPr>
        <w:pStyle w:val="ListBullet"/>
      </w:pPr>
      <w:r>
        <w:t>MAST Coverage Scorecard — graxella vs the 14 failure modes (artifact: claude.ai/code/artifact/2aafe16f-f501-48ec-8a31-e7cd3ee0d4f2)</w:t>
      </w:r>
    </w:p>
    <w:p>
      <w:pPr>
        <w:pStyle w:val="ListBullet"/>
      </w:pPr>
      <w:r>
        <w:t>Graxella_Flagship_Deck.pptx — 18-slide program deck (this folder)</w:t>
      </w:r>
    </w:p>
    <w:p>
      <w:pPr>
        <w:pStyle w:val="ListBullet"/>
      </w:pPr>
      <w:r>
        <w:t>Key external references: MAST (arXiv 2503.13657); Governance Gaps in Agent Interoperability Protocols (arXiv 2606.31498); ACE — Agentic Context Engineering (arXiv 2510.04618); Memento (arXiv 2508.16153); GEPA (github.com/gepa-ai/gepa); OTel GenAI semantic conventions (opentelemetry.io); A2A v1.0.1 (Linux Foundation)</w:t>
      </w:r>
    </w:p>
    <w:p>
      <w:pPr>
        <w:pStyle w:val="Heading1"/>
      </w:pPr>
      <w:r>
        <w:t>15. Glossary</w:t>
      </w:r>
    </w:p>
    <w:tbl>
      <w:tblPr>
        <w:tblStyle w:val="TableGrid"/>
        <w:tblW w:type="auto" w:w="0"/>
        <w:jc w:val="center"/>
        <w:tblLayout w:type="fixed"/>
        <w:tblLook w:firstColumn="1" w:firstRow="1" w:lastColumn="0" w:lastRow="0" w:noHBand="0" w:noVBand="1" w:val="04A0"/>
      </w:tblPr>
      <w:tblGrid>
        <w:gridCol w:w="4320"/>
        <w:gridCol w:w="4320"/>
      </w:tblGrid>
      <w:tr>
        <w:tc>
          <w:tcPr>
            <w:tcW w:type="dxa" w:w="2736"/>
          </w:tcPr>
          <w:p>
            <w:pPr>
              <w:spacing w:after="40"/>
            </w:pPr>
            <w:r/>
            <w:r>
              <w:rPr>
                <w:rFonts w:ascii="Segoe UI" w:hAnsi="Segoe UI"/>
                <w:b/>
                <w:color w:val="14805E"/>
                <w:sz w:val="18"/>
              </w:rPr>
              <w:t>Term</w:t>
            </w:r>
          </w:p>
        </w:tc>
        <w:tc>
          <w:tcPr>
            <w:tcW w:type="dxa" w:w="6912"/>
          </w:tcPr>
          <w:p>
            <w:pPr>
              <w:spacing w:after="40"/>
            </w:pPr>
            <w:r/>
            <w:r>
              <w:rPr>
                <w:rFonts w:ascii="Segoe UI" w:hAnsi="Segoe UI"/>
                <w:b/>
                <w:color w:val="14805E"/>
                <w:sz w:val="18"/>
              </w:rPr>
              <w:t>Meaning</w:t>
            </w:r>
          </w:p>
        </w:tc>
      </w:tr>
      <w:tr>
        <w:tc>
          <w:tcPr>
            <w:tcW w:type="dxa" w:w="2736"/>
          </w:tcPr>
          <w:p>
            <w:pPr>
              <w:spacing w:after="40"/>
            </w:pPr>
            <w:r/>
            <w:r>
              <w:rPr>
                <w:rFonts w:ascii="Calibri" w:hAnsi="Calibri"/>
                <w:sz w:val="19"/>
              </w:rPr>
              <w:t>Evidence Loop</w:t>
            </w:r>
          </w:p>
        </w:tc>
        <w:tc>
          <w:tcPr>
            <w:tcW w:type="dxa" w:w="6912"/>
          </w:tcPr>
          <w:p>
            <w:pPr>
              <w:spacing w:after="40"/>
            </w:pPr>
            <w:r/>
            <w:r>
              <w:rPr>
                <w:rFonts w:ascii="Calibri" w:hAnsi="Calibri"/>
                <w:sz w:val="19"/>
              </w:rPr>
              <w:t>The six-stage cycle (dispatch → outcome → ledger → proposal → gate → promotion) by which volume becomes reliability</w:t>
            </w:r>
          </w:p>
        </w:tc>
      </w:tr>
      <w:tr>
        <w:tc>
          <w:tcPr>
            <w:tcW w:type="dxa" w:w="2736"/>
          </w:tcPr>
          <w:p>
            <w:pPr>
              <w:spacing w:after="40"/>
            </w:pPr>
            <w:r/>
            <w:r>
              <w:rPr>
                <w:rFonts w:ascii="Calibri" w:hAnsi="Calibri"/>
                <w:sz w:val="19"/>
              </w:rPr>
              <w:t>Promotion</w:t>
            </w:r>
          </w:p>
        </w:tc>
        <w:tc>
          <w:tcPr>
            <w:tcW w:type="dxa" w:w="6912"/>
          </w:tcPr>
          <w:p>
            <w:pPr>
              <w:spacing w:after="40"/>
            </w:pPr>
            <w:r/>
            <w:r>
              <w:rPr>
                <w:rFonts w:ascii="Calibri" w:hAnsi="Calibri"/>
                <w:sz w:val="19"/>
              </w:rPr>
              <w:t>A versioned, gated, rollbackable behavior change carrying citations — the unit of improvement</w:t>
            </w:r>
          </w:p>
        </w:tc>
      </w:tr>
      <w:tr>
        <w:tc>
          <w:tcPr>
            <w:tcW w:type="dxa" w:w="2736"/>
          </w:tcPr>
          <w:p>
            <w:pPr>
              <w:spacing w:after="40"/>
            </w:pPr>
            <w:r/>
            <w:r>
              <w:rPr>
                <w:rFonts w:ascii="Calibri" w:hAnsi="Calibri"/>
                <w:sz w:val="19"/>
              </w:rPr>
              <w:t>Ledger</w:t>
            </w:r>
          </w:p>
        </w:tc>
        <w:tc>
          <w:tcPr>
            <w:tcW w:type="dxa" w:w="6912"/>
          </w:tcPr>
          <w:p>
            <w:pPr>
              <w:spacing w:after="40"/>
            </w:pPr>
            <w:r/>
            <w:r>
              <w:rPr>
                <w:rFonts w:ascii="Calibri" w:hAnsi="Calibri"/>
                <w:sz w:val="19"/>
              </w:rPr>
              <w:t>Mnema's immutable store of typed assertions (decisions, outcomes, verdicts) with mandatory provenance</w:t>
            </w:r>
          </w:p>
        </w:tc>
      </w:tr>
      <w:tr>
        <w:tc>
          <w:tcPr>
            <w:tcW w:type="dxa" w:w="2736"/>
          </w:tcPr>
          <w:p>
            <w:pPr>
              <w:spacing w:after="40"/>
            </w:pPr>
            <w:r/>
            <w:r>
              <w:rPr>
                <w:rFonts w:ascii="Calibri" w:hAnsi="Calibri"/>
                <w:sz w:val="19"/>
              </w:rPr>
              <w:t>Evidence Gate</w:t>
            </w:r>
          </w:p>
        </w:tc>
        <w:tc>
          <w:tcPr>
            <w:tcW w:type="dxa" w:w="6912"/>
          </w:tcPr>
          <w:p>
            <w:pPr>
              <w:spacing w:after="40"/>
            </w:pPr>
            <w:r/>
            <w:r>
              <w:rPr>
                <w:rFonts w:ascii="Calibri" w:hAnsi="Calibri"/>
                <w:sz w:val="19"/>
              </w:rPr>
              <w:t>Bayesian promotion decision from cited priors per (domain, kind, model); zero LLM; self-calibrating thresholds</w:t>
            </w:r>
          </w:p>
        </w:tc>
      </w:tr>
      <w:tr>
        <w:tc>
          <w:tcPr>
            <w:tcW w:type="dxa" w:w="2736"/>
          </w:tcPr>
          <w:p>
            <w:pPr>
              <w:spacing w:after="40"/>
            </w:pPr>
            <w:r/>
            <w:r>
              <w:rPr>
                <w:rFonts w:ascii="Calibri" w:hAnsi="Calibri"/>
                <w:sz w:val="19"/>
              </w:rPr>
              <w:t>Constitution</w:t>
            </w:r>
          </w:p>
        </w:tc>
        <w:tc>
          <w:tcPr>
            <w:tcW w:type="dxa" w:w="6912"/>
          </w:tcPr>
          <w:p>
            <w:pPr>
              <w:spacing w:after="40"/>
            </w:pPr>
            <w:r/>
            <w:r>
              <w:rPr>
                <w:rFonts w:ascii="Calibri" w:hAnsi="Calibri"/>
                <w:sz w:val="19"/>
              </w:rPr>
              <w:t>Hard invariants (flow topology, budgets, forbidden actions) that no evidence can override; detection-only enforcement</w:t>
            </w:r>
          </w:p>
        </w:tc>
      </w:tr>
      <w:tr>
        <w:tc>
          <w:tcPr>
            <w:tcW w:type="dxa" w:w="2736"/>
          </w:tcPr>
          <w:p>
            <w:pPr>
              <w:spacing w:after="40"/>
            </w:pPr>
            <w:r/>
            <w:r>
              <w:rPr>
                <w:rFonts w:ascii="Calibri" w:hAnsi="Calibri"/>
                <w:sz w:val="19"/>
              </w:rPr>
              <w:t>Optimistic orchestration</w:t>
            </w:r>
          </w:p>
        </w:tc>
        <w:tc>
          <w:tcPr>
            <w:tcW w:type="dxa" w:w="6912"/>
          </w:tcPr>
          <w:p>
            <w:pPr>
              <w:spacing w:after="40"/>
            </w:pPr>
            <w:r/>
            <w:r>
              <w:rPr>
                <w:rFonts w:ascii="Calibri" w:hAnsi="Calibri"/>
                <w:sz w:val="19"/>
              </w:rPr>
              <w:t>Doctrine: the defined flow always runs as written; learning is background, additive, and reversible</w:t>
            </w:r>
          </w:p>
        </w:tc>
      </w:tr>
      <w:tr>
        <w:tc>
          <w:tcPr>
            <w:tcW w:type="dxa" w:w="2736"/>
          </w:tcPr>
          <w:p>
            <w:pPr>
              <w:spacing w:after="40"/>
            </w:pPr>
            <w:r/>
            <w:r>
              <w:rPr>
                <w:rFonts w:ascii="Calibri" w:hAnsi="Calibri"/>
                <w:sz w:val="19"/>
              </w:rPr>
              <w:t>Waiting tokens</w:t>
            </w:r>
          </w:p>
        </w:tc>
        <w:tc>
          <w:tcPr>
            <w:tcW w:type="dxa" w:w="6912"/>
          </w:tcPr>
          <w:p>
            <w:pPr>
              <w:spacing w:after="40"/>
            </w:pPr>
            <w:r/>
            <w:r>
              <w:rPr>
                <w:rFonts w:ascii="Calibri" w:hAnsi="Calibri"/>
                <w:sz w:val="19"/>
              </w:rPr>
              <w:t>Tokens burned by supervisor LLMs deliberating over agent selection — eliminated by deterministic routing</w:t>
            </w:r>
          </w:p>
        </w:tc>
      </w:tr>
      <w:tr>
        <w:tc>
          <w:tcPr>
            <w:tcW w:type="dxa" w:w="2736"/>
          </w:tcPr>
          <w:p>
            <w:pPr>
              <w:spacing w:after="40"/>
            </w:pPr>
            <w:r/>
            <w:r>
              <w:rPr>
                <w:rFonts w:ascii="Calibri" w:hAnsi="Calibri"/>
                <w:sz w:val="19"/>
              </w:rPr>
              <w:t>Progressive disclosure (L0–L3)</w:t>
            </w:r>
          </w:p>
        </w:tc>
        <w:tc>
          <w:tcPr>
            <w:tcW w:type="dxa" w:w="6912"/>
          </w:tcPr>
          <w:p>
            <w:pPr>
              <w:spacing w:after="40"/>
            </w:pPr>
            <w:r/>
            <w:r>
              <w:rPr>
                <w:rFonts w:ascii="Calibri" w:hAnsi="Calibri"/>
                <w:sz w:val="19"/>
              </w:rPr>
              <w:t>Tiered capability revelation driven by the router: name → skill summaries → full contract → tool schemas</w:t>
            </w:r>
          </w:p>
        </w:tc>
      </w:tr>
      <w:tr>
        <w:tc>
          <w:tcPr>
            <w:tcW w:type="dxa" w:w="2736"/>
          </w:tcPr>
          <w:p>
            <w:pPr>
              <w:spacing w:after="40"/>
            </w:pPr>
            <w:r/>
            <w:r>
              <w:rPr>
                <w:rFonts w:ascii="Calibri" w:hAnsi="Calibri"/>
                <w:sz w:val="19"/>
              </w:rPr>
              <w:t>Case recall</w:t>
            </w:r>
          </w:p>
        </w:tc>
        <w:tc>
          <w:tcPr>
            <w:tcW w:type="dxa" w:w="6912"/>
          </w:tcPr>
          <w:p>
            <w:pPr>
              <w:spacing w:after="40"/>
            </w:pPr>
            <w:r/>
            <w:r>
              <w:rPr>
                <w:rFonts w:ascii="Calibri" w:hAnsi="Calibri"/>
                <w:sz w:val="19"/>
              </w:rPr>
              <w:t>Injecting top-k similar past episodes with outcomes into the dispatched agent's context (Memento pattern)</w:t>
            </w:r>
          </w:p>
        </w:tc>
      </w:tr>
      <w:tr>
        <w:tc>
          <w:tcPr>
            <w:tcW w:type="dxa" w:w="2736"/>
          </w:tcPr>
          <w:p>
            <w:pPr>
              <w:spacing w:after="40"/>
            </w:pPr>
            <w:r/>
            <w:r>
              <w:rPr>
                <w:rFonts w:ascii="Calibri" w:hAnsi="Calibri"/>
                <w:sz w:val="19"/>
              </w:rPr>
              <w:t>Blast radius</w:t>
            </w:r>
          </w:p>
        </w:tc>
        <w:tc>
          <w:tcPr>
            <w:tcW w:type="dxa" w:w="6912"/>
          </w:tcPr>
          <w:p>
            <w:pPr>
              <w:spacing w:after="40"/>
            </w:pPr>
            <w:r/>
            <w:r>
              <w:rPr>
                <w:rFonts w:ascii="Calibri" w:hAnsi="Calibri"/>
                <w:sz w:val="19"/>
              </w:rPr>
              <w:t>Scope of a proposed change; wide blast requires overwhelming same-tuple evidence or human sign-off</w:t>
            </w:r>
          </w:p>
        </w:tc>
      </w:tr>
      <w:tr>
        <w:tc>
          <w:tcPr>
            <w:tcW w:type="dxa" w:w="2736"/>
          </w:tcPr>
          <w:p>
            <w:pPr>
              <w:spacing w:after="40"/>
            </w:pPr>
            <w:r/>
            <w:r>
              <w:rPr>
                <w:rFonts w:ascii="Calibri" w:hAnsi="Calibri"/>
                <w:sz w:val="19"/>
              </w:rPr>
              <w:t>MTTH</w:t>
            </w:r>
          </w:p>
        </w:tc>
        <w:tc>
          <w:tcPr>
            <w:tcW w:type="dxa" w:w="6912"/>
          </w:tcPr>
          <w:p>
            <w:pPr>
              <w:spacing w:after="40"/>
            </w:pPr>
            <w:r/>
            <w:r>
              <w:rPr>
                <w:rFonts w:ascii="Calibri" w:hAnsi="Calibri"/>
                <w:sz w:val="19"/>
              </w:rPr>
              <w:t>Mean time to heal: drift detected → healed in production</w:t>
            </w:r>
          </w:p>
        </w:tc>
      </w:tr>
      <w:tr>
        <w:tc>
          <w:tcPr>
            <w:tcW w:type="dxa" w:w="2736"/>
          </w:tcPr>
          <w:p>
            <w:pPr>
              <w:spacing w:after="40"/>
            </w:pPr>
            <w:r/>
            <w:r>
              <w:rPr>
                <w:rFonts w:ascii="Calibri" w:hAnsi="Calibri"/>
                <w:sz w:val="19"/>
              </w:rPr>
              <w:t>Sentinel</w:t>
            </w:r>
          </w:p>
        </w:tc>
        <w:tc>
          <w:tcPr>
            <w:tcW w:type="dxa" w:w="6912"/>
          </w:tcPr>
          <w:p>
            <w:pPr>
              <w:spacing w:after="40"/>
            </w:pPr>
            <w:r/>
            <w:r>
              <w:rPr>
                <w:rFonts w:ascii="Calibri" w:hAnsi="Calibri"/>
                <w:sz w:val="19"/>
              </w:rPr>
              <w:t>Proactive drift detection: canary calls, shadow traffic, schema diffing, drift forecasting (from B10)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C25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Segoe UI" w:hAnsi="Segoe UI" w:eastAsia="Segoe UI"/>
      <w:b/>
      <w:bCs/>
      <w:color w:val="1C2521"/>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b/>
      <w:bCs/>
      <w:color w:val="14805E"/>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eastAsia="Segoe UI"/>
      <w:b/>
      <w:bCs/>
      <w:color w:val="1480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