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HILLTOP MANAGEMENT GROUP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C17F24"/>
                <w:sz w:val="18"/>
                <w:szCs w:val="18"/>
              </w:rPr>
              <w:t xml:space="preserve">Capital Infrastructure for Institutional Sponsors</w:t>
            </w:r>
          </w:p>
        </w:tc>
      </w:tr>
    </w:tbl>
    <w:p>
      <w:pPr>
        <w:spacing w:after="0" w:before="200"/>
      </w:pP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Strategic Referral Partnership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Helping Your Clients Capture Institutional-Grade Yield on Idle Fund Capital</w:t>
      </w:r>
    </w:p>
    <w:p>
      <w:pPr>
        <w:pBdr>
          <w:bottom w:val="single" w:color="C17F24" w:sz="6" w:space="1"/>
        </w:pBdr>
        <w:spacing w:after="200"/>
      </w:pPr>
    </w:p>
    <w:p>
      <w:pPr>
        <w:pStyle w:val="Heading1"/>
      </w:pPr>
      <w:r>
        <w:rPr>
          <w:b/>
          <w:bCs/>
        </w:rPr>
        <w:t xml:space="preserve">The Problem: The Quiet Bleed</w:t>
      </w:r>
    </w:p>
    <w:p>
      <w:pPr>
        <w:spacing w:after="120"/>
      </w:pPr>
      <w:r>
        <w:rPr>
          <w:sz w:val="20"/>
          <w:szCs w:val="20"/>
        </w:rPr>
        <w:t>Your clients’ fund capital doesn’t sit idle by choice—it sits idle by design. Between capital calls, deployment cycles, post-exit holds, and inter-fund transitions, the average mid-market PE or RE sponsor has 15–25% of AUM uninvested at any given time.</w:t>
      </w:r>
    </w:p>
    <w:p>
      <w:pPr>
        <w:spacing w:after="120"/>
      </w:pPr>
      <w:r>
        <w:rPr>
          <w:sz w:val="20"/>
          <w:szCs w:val="20"/>
        </w:rPr>
        <w:t xml:space="preserve">That capital typically earns 0.01–0.50% in custodian sweep accounts while the custodian bank captures 300–400 basis points of spread on the same dollars.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17F24" w:sz="2"/>
              <w:left w:val="single" w:color="C17F24" w:sz="2"/>
              <w:bottom w:val="single" w:color="C17F24" w:sz="2"/>
              <w:right w:val="single" w:color="C17F24" w:sz="2"/>
            </w:tcBorders>
            <w:shd w:fill="F5F3E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On a $500M fund with $100M idle capital:</w:t>
            </w:r>
          </w:p>
          <w:p>
            <w:pPr>
              <w:spacing w:after="30"/>
            </w:pPr>
            <w:r>
              <w:rPr>
                <w:color w:val="666666"/>
                <w:sz w:val="19"/>
                <w:szCs w:val="19"/>
              </w:rPr>
              <w:t>Custodian sweep yield: $150K/year</w:t>
            </w:r>
          </w:p>
          <w:p>
            <w:pPr>
              <w:spacing w:after="30"/>
            </w:pPr>
            <w:r>
              <w:rPr>
                <w:color w:val="1B2A4A"/>
                <w:sz w:val="19"/>
                <w:szCs w:val="19"/>
              </w:rPr>
              <w:t xml:space="preserve">Optimized treasury yield (net of all fees): </w:t>
            </w:r>
            <w:r>
              <w:rPr>
                <w:b/>
                <w:bCs/>
                <w:color w:val="1B2A4A"/>
                <w:sz w:val="19"/>
                <w:szCs w:val="19"/>
              </w:rPr>
              <w:t xml:space="preserve">$3.43M/year</w:t>
            </w:r>
          </w:p>
          <w:p>
            <w:pPr>
              <w:spacing w:after="0"/>
            </w:pPr>
            <w:r>
              <w:rPr>
                <w:color w:val="C17F24"/>
                <w:sz w:val="19"/>
                <w:szCs w:val="19"/>
              </w:rPr>
              <w:t xml:space="preserve">Annual value your client is leaving on the table: </w:t>
            </w:r>
            <w:r>
              <w:rPr>
                <w:b/>
                <w:bCs/>
                <w:color w:val="C17F24"/>
                <w:sz w:val="21"/>
                <w:szCs w:val="21"/>
              </w:rPr>
              <w:t xml:space="preserve">$3.28M</w:t>
            </w:r>
          </w:p>
        </w:tc>
      </w:tr>
    </w:tbl>
    <w:p>
      <w:pPr>
        <w:spacing w:after="0" w:before="60"/>
      </w:pPr>
    </w:p>
    <w:p>
      <w:pPr>
        <w:pStyle w:val="Heading1"/>
      </w:pPr>
      <w:r>
        <w:rPr>
          <w:b/>
          <w:bCs/>
        </w:rPr>
        <w:t xml:space="preserve">The Solution: Institutional Treasury, Delivered</w:t>
      </w:r>
    </w:p>
    <w:p>
      <w:pPr>
        <w:spacing w:after="120"/>
      </w:pPr>
      <w:r>
        <w:rPr>
          <w:sz w:val="20"/>
          <w:szCs w:val="20"/>
        </w:rPr>
        <w:t xml:space="preserve">HMG provides a fully managed treasury platform for mid-market sponsors. Capital that isn’t immediately deployed moves into a tiered portfolio of government money markets, T-bill ladders, and ultrashort investment-grade instruments—all held at Charles Schwab under the sponsor’s own brand.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8E6E0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Custodian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E8E6E0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color w:val="444444"/>
                <w:sz w:val="19"/>
                <w:szCs w:val="19"/>
              </w:rPr>
              <w:t xml:space="preserve">Charles Schwab — white-label portal under sponsor’s brand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8E6E0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Investment Manager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E8E6E0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color w:val="444444"/>
                <w:sz w:val="19"/>
                <w:szCs w:val="19"/>
              </w:rPr>
              <w:t xml:space="preserve">SEC-registered RIA partner operating under fiduciary standard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8E6E0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Instruments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E8E6E0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color w:val="444444"/>
                <w:sz w:val="19"/>
                <w:szCs w:val="19"/>
              </w:rPr>
              <w:t xml:space="preserve">Gov’t money markets, T-bill ladders, ultrashort bond ETFs, FDIC sweep (IntraFi)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8E6E0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Blended Net Yield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E8E6E0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color w:val="444444"/>
                <w:sz w:val="19"/>
                <w:szCs w:val="19"/>
              </w:rPr>
              <w:t xml:space="preserve">~3.43% net after all fees (vs. 0.01–0.50% sweep)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8E6E0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Liquidity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E8E6E0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color w:val="444444"/>
                <w:sz w:val="19"/>
                <w:szCs w:val="19"/>
              </w:rPr>
              <w:t xml:space="preserve">Same-day to T+1 on 70% of portfolio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8E6E0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FDIC Coverage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E8E6E0" w:sz="1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color w:val="444444"/>
                <w:sz w:val="19"/>
                <w:szCs w:val="19"/>
              </w:rPr>
              <w:t xml:space="preserve">Multi-million dollar coverage via IntraFi network (3,000+ banks)</w:t>
            </w:r>
          </w:p>
        </w:tc>
      </w:tr>
    </w:tbl>
    <w:p>
      <w:pPr>
        <w:spacing w:after="0" w:before="60"/>
      </w:pPr>
    </w:p>
    <w:p>
      <w:pPr>
        <w:spacing w:after="80" w:before="100"/>
      </w:pPr>
      <w:r>
        <w:rPr>
          <w:b/>
          <w:bCs/>
          <w:color w:val="1B2A4A"/>
          <w:sz w:val="22"/>
          <w:szCs w:val="22"/>
        </w:rPr>
        <w:t xml:space="preserve">Fee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6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1B2A4A" w:sz="2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Fee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1B2A4A" w:sz="2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Rate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1B2A4A" w:sz="2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8E6E0" w:sz="1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444444"/>
                <w:sz w:val="18"/>
                <w:szCs w:val="18"/>
              </w:rPr>
              <w:t xml:space="preserve">Capital Throughput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8E6E0" w:sz="1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444444"/>
                <w:sz w:val="18"/>
                <w:szCs w:val="18"/>
              </w:rPr>
              <w:t xml:space="preserve">10 bps (one-time)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8E6E0" w:sz="1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444444"/>
                <w:sz w:val="18"/>
                <w:szCs w:val="18"/>
              </w:rPr>
              <w:t xml:space="preserve">Assessed once per dollar at each entry/exit event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8E6E0" w:sz="1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444444"/>
                <w:sz w:val="18"/>
                <w:szCs w:val="18"/>
              </w:rPr>
              <w:t xml:space="preserve">Asset Management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8E6E0" w:sz="1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444444"/>
                <w:sz w:val="18"/>
                <w:szCs w:val="18"/>
              </w:rPr>
              <w:t xml:space="preserve">50 bps (annual)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E8E6E0" w:sz="1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444444"/>
                <w:sz w:val="18"/>
                <w:szCs w:val="18"/>
              </w:rPr>
              <w:t xml:space="preserve">Portfolio management, FDIC optimization, reporting, RIA oversight</w:t>
            </w:r>
          </w:p>
        </w:tc>
      </w:tr>
    </w:tbl>
    <w:p>
      <w:pPr>
        <w:spacing w:after="0" w:before="60"/>
      </w:pPr>
    </w:p>
    <w:p>
      <w:pPr>
        <w:pStyle w:val="Heading1"/>
      </w:pPr>
      <w:r>
        <w:rPr>
          <w:b/>
          <w:bCs/>
        </w:rPr>
        <w:t xml:space="preserve">Why Partner With Us</w:t>
      </w:r>
    </w:p>
    <w:p>
      <w:pPr>
        <w:spacing w:after="80"/>
      </w:pPr>
      <w:r>
        <w:rPr>
          <w:sz w:val="20"/>
          <w:szCs w:val="20"/>
        </w:rPr>
        <w:t xml:space="preserve">This is not a product pitch for your firm. It’s a value-add you bring to your existing client relationships.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A4A"/>
          <w:sz w:val="20"/>
          <w:szCs w:val="20"/>
        </w:rPr>
        <w:t xml:space="preserve">Strengthen client relationships. </w:t>
      </w:r>
      <w:r>
        <w:rPr>
          <w:sz w:val="20"/>
          <w:szCs w:val="20"/>
        </w:rPr>
        <w:t xml:space="preserve">Introducing institutional treasury management positions you as a strategic advisor, not just legal counsel. Your clients remember who brought them the idea.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A4A"/>
          <w:sz w:val="20"/>
          <w:szCs w:val="20"/>
        </w:rPr>
        <w:t xml:space="preserve">Zero implementation burden. </w:t>
      </w:r>
      <w:r>
        <w:rPr>
          <w:sz w:val="20"/>
          <w:szCs w:val="20"/>
        </w:rPr>
        <w:t xml:space="preserve">HMG handles all onboarding, platform setup, and ongoing management. Nothing is required from your firm beyond the introduction.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A4A"/>
          <w:sz w:val="20"/>
          <w:szCs w:val="20"/>
        </w:rPr>
        <w:t xml:space="preserve">Fully compliant structure. </w:t>
      </w:r>
      <w:r>
        <w:rPr>
          <w:sz w:val="20"/>
          <w:szCs w:val="20"/>
        </w:rPr>
        <w:t xml:space="preserve">SEC-registered RIA fiduciary oversight. Charles Schwab custody. Investment-grade instruments only. Operates under existing GP authority—no LPA amendment required in most cases.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A4A"/>
          <w:sz w:val="20"/>
          <w:szCs w:val="20"/>
        </w:rPr>
        <w:t xml:space="preserve">Aligned with the market. </w:t>
      </w:r>
      <w:r>
        <w:rPr>
          <w:sz w:val="20"/>
          <w:szCs w:val="20"/>
        </w:rPr>
        <w:t xml:space="preserve">Blackstone, KKR, and Apollo all run dedicated treasury operations. LPs increasingly expect this infrastructure at every level. Your clients shouldn’t be the ones without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2A4A"/>
          <w:sz w:val="20"/>
          <w:szCs w:val="20"/>
        </w:rPr>
        <w:t xml:space="preserve">Transparent economics. </w:t>
      </w:r>
      <w:r>
        <w:rPr>
          <w:sz w:val="20"/>
          <w:szCs w:val="20"/>
        </w:rPr>
        <w:t xml:space="preserve">Simple fee model with no hidden costs. Sponsor, RIA, and HMG economics are fully transparent. Your client knows exactly what they’re paying and what they’re earning.</w:t>
      </w:r>
    </w:p>
    <w:p>
      <w:pPr>
        <w:pStyle w:val="Heading1"/>
      </w:pPr>
      <w:r>
        <w:rPr>
          <w:b/>
          <w:bCs/>
        </w:rPr>
        <w:t xml:space="preserve">How It Works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B2A4A"/>
          <w:sz w:val="20"/>
          <w:szCs w:val="20"/>
        </w:rPr>
        <w:t xml:space="preserve">  Introduction.</w:t>
      </w:r>
      <w:r>
        <w:rPr>
          <w:sz w:val="20"/>
          <w:szCs w:val="20"/>
        </w:rPr>
        <w:t xml:space="preserve">  You connect your client to HMG. We take it from there with a 30-minute discovery call to quantify their idle capital opportunity.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B2A4A"/>
          <w:sz w:val="20"/>
          <w:szCs w:val="20"/>
        </w:rPr>
        <w:t xml:space="preserve">  Custom Analysis.</w:t>
      </w:r>
      <w:r>
        <w:rPr>
          <w:sz w:val="20"/>
          <w:szCs w:val="20"/>
        </w:rPr>
        <w:t xml:space="preserve">  We model the sponsor’s specific fund structure, deployment timeline, and yield opportunity—delivered as a branded analysis the sponsor can share with LPs.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B2A4A"/>
          <w:sz w:val="20"/>
          <w:szCs w:val="20"/>
        </w:rPr>
        <w:t xml:space="preserve">  Implementation.</w:t>
      </w:r>
      <w:r>
        <w:rPr>
          <w:sz w:val="20"/>
          <w:szCs w:val="20"/>
        </w:rPr>
        <w:t xml:space="preserve">  Platform setup at Charles Schwab, RIA onboarding, and treasury allocation. 3–4 weeks for SPVs, 4–8 weeks for fund structures.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B2A4A"/>
          <w:sz w:val="20"/>
          <w:szCs w:val="20"/>
        </w:rPr>
        <w:t xml:space="preserve">  Ongoing Management.</w:t>
      </w:r>
      <w:r>
        <w:rPr>
          <w:sz w:val="20"/>
          <w:szCs w:val="20"/>
        </w:rPr>
        <w:t xml:space="preserve">  Continuous portfolio optimization, LP-ready reporting, and capital call coordination. The sponsor gets institutional infrastructure without adding headcount.</w:t>
      </w:r>
    </w:p>
    <w:p>
      <w:pPr>
        <w:spacing w:after="0" w:before="40"/>
      </w:pPr>
    </w:p>
    <w:p>
      <w:pPr>
        <w:pBdr>
          <w:bottom w:val="single" w:color="C17F24" w:sz="6" w:space="1"/>
        </w:pBd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Daniel Fink</w:t>
            </w:r>
          </w:p>
          <w:p>
            <w:pPr>
              <w:spacing w:after="20"/>
            </w:pPr>
            <w:r>
              <w:rPr>
                <w:color w:val="666666"/>
                <w:sz w:val="19"/>
                <w:szCs w:val="19"/>
              </w:rPr>
              <w:t xml:space="preserve">Managing Director</w:t>
            </w:r>
          </w:p>
          <w:p>
            <w:pPr>
              <w:spacing w:after="20"/>
            </w:pPr>
            <w:r>
              <w:rPr>
                <w:color w:val="666666"/>
                <w:sz w:val="19"/>
                <w:szCs w:val="19"/>
              </w:rPr>
              <w:t xml:space="preserve">Hilltop Management Group</w:t>
            </w:r>
          </w:p>
          <w:p>
            <w:pPr>
              <w:spacing w:after="0"/>
            </w:pPr>
            <w:r>
              <w:rPr>
                <w:color w:val="C17F24"/>
                <w:sz w:val="19"/>
                <w:szCs w:val="19"/>
              </w:rPr>
              <w:t xml:space="preserve">hilltopmgmt@outlook.com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i/>
                <w:iCs/>
                <w:color w:val="1B2A4A"/>
                <w:sz w:val="20"/>
                <w:szCs w:val="20"/>
              </w:rPr>
              <w:t xml:space="preserve">Every dollar should work every day.</w:t>
            </w:r>
          </w:p>
          <w:p>
            <w:pPr>
              <w:spacing w:after="0"/>
              <w:jc w:val="right"/>
            </w:pPr>
            <w:r>
              <w:rPr>
                <w:color w:val="666666"/>
                <w:sz w:val="18"/>
                <w:szCs w:val="18"/>
              </w:rPr>
              <w:t xml:space="preserve">Blackstone built dedicated treasury operations because idle capital is a strategic liability. Your clients deserve the same infrastructure.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Calibri" w:cs="Calibri" w:eastAsia="Calibri" w:hAnsi="Calibri"/>
        <w:i/>
        <w:iCs/>
        <w:color w:val="999999"/>
        <w:sz w:val="14"/>
        <w:szCs w:val="14"/>
      </w:rPr>
      <w:t xml:space="preserve">Confidential. For informational purposes only. Not investment advice.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b/>
        <w:bCs/>
        <w:color w:val="C17F24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B2A4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2026-03-19T05:33:21.758Z</dcterms:created>
  <dcterms:modified xsi:type="dcterms:W3CDTF">2026-03-19T05:33:21.758Z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