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98" w:rsidRDefault="002E7003"/>
    <w:p w:rsidR="00D506C1" w:rsidRDefault="00D506C1"/>
    <w:p w:rsidR="00D506C1" w:rsidRDefault="005A22BF" w:rsidP="005A22BF">
      <w:pPr>
        <w:jc w:val="center"/>
      </w:pPr>
      <w:r>
        <w:rPr>
          <w:noProof/>
        </w:rPr>
        <w:drawing>
          <wp:inline distT="0" distB="0" distL="0" distR="0" wp14:anchorId="015EDE64">
            <wp:extent cx="2737511" cy="1857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51" cy="1864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06C1" w:rsidRDefault="00D506C1"/>
    <w:p w:rsidR="00D506C1" w:rsidRDefault="00D506C1"/>
    <w:p w:rsidR="00D506C1" w:rsidRDefault="00D506C1"/>
    <w:p w:rsidR="00D506C1" w:rsidRDefault="00D506C1"/>
    <w:p w:rsidR="00D506C1" w:rsidRDefault="00D506C1"/>
    <w:p w:rsidR="00D506C1" w:rsidRPr="00F13AC4" w:rsidRDefault="00F13AC4" w:rsidP="00F13AC4">
      <w:pPr>
        <w:jc w:val="center"/>
        <w:rPr>
          <w:rFonts w:ascii="Garamond" w:hAnsi="Garamond"/>
          <w:b/>
          <w:color w:val="1F4E79" w:themeColor="accent1" w:themeShade="80"/>
          <w:sz w:val="28"/>
        </w:rPr>
      </w:pPr>
      <w:r w:rsidRPr="00F13AC4">
        <w:rPr>
          <w:rFonts w:ascii="Garamond" w:hAnsi="Garamond"/>
          <w:b/>
          <w:color w:val="1F4E79" w:themeColor="accent1" w:themeShade="80"/>
          <w:sz w:val="28"/>
        </w:rPr>
        <w:t>SUMMARY OF THE INSURANCE (AMENEDMENT) BILL 2016</w:t>
      </w:r>
    </w:p>
    <w:p w:rsidR="00D506C1" w:rsidRDefault="00D506C1"/>
    <w:p w:rsidR="00D506C1" w:rsidRPr="00F13AC4" w:rsidRDefault="00F13AC4" w:rsidP="00F13AC4">
      <w:pPr>
        <w:jc w:val="center"/>
        <w:rPr>
          <w:rFonts w:ascii="Garamond" w:hAnsi="Garamond"/>
          <w:b/>
          <w:color w:val="1F4E79" w:themeColor="accent1" w:themeShade="80"/>
          <w:sz w:val="24"/>
        </w:rPr>
      </w:pPr>
      <w:r w:rsidRPr="00F13AC4">
        <w:rPr>
          <w:rFonts w:ascii="Garamond" w:hAnsi="Garamond"/>
          <w:b/>
          <w:color w:val="1F4E79" w:themeColor="accent1" w:themeShade="80"/>
          <w:sz w:val="24"/>
        </w:rPr>
        <w:t>JULY 2016</w:t>
      </w:r>
    </w:p>
    <w:p w:rsidR="00D506C1" w:rsidRDefault="00D506C1"/>
    <w:p w:rsidR="00D506C1" w:rsidRDefault="00D506C1"/>
    <w:p w:rsidR="00D506C1" w:rsidRDefault="00D506C1"/>
    <w:p w:rsidR="00D506C1" w:rsidRDefault="00D506C1"/>
    <w:tbl>
      <w:tblPr>
        <w:tblStyle w:val="TableGrid"/>
        <w:tblpPr w:leftFromText="180" w:rightFromText="180" w:vertAnchor="text" w:horzAnchor="margin" w:tblpXSpec="center" w:tblpY="-689"/>
        <w:tblW w:w="140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1890"/>
        <w:gridCol w:w="1890"/>
        <w:gridCol w:w="5760"/>
        <w:gridCol w:w="3780"/>
      </w:tblGrid>
      <w:tr w:rsidR="002D5A26" w:rsidRPr="000D5E93" w:rsidTr="00FC2829">
        <w:trPr>
          <w:trHeight w:val="620"/>
          <w:tblHeader/>
        </w:trPr>
        <w:tc>
          <w:tcPr>
            <w:tcW w:w="715" w:type="dxa"/>
            <w:shd w:val="clear" w:color="auto" w:fill="1F4E79" w:themeFill="accent1" w:themeFillShade="80"/>
          </w:tcPr>
          <w:p w:rsidR="002D5A26" w:rsidRPr="00D876F2" w:rsidRDefault="002D5A26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lastRenderedPageBreak/>
              <w:t>No.</w:t>
            </w:r>
          </w:p>
          <w:p w:rsidR="00462FAB" w:rsidRPr="00D876F2" w:rsidRDefault="00462FAB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</w:p>
        </w:tc>
        <w:tc>
          <w:tcPr>
            <w:tcW w:w="1890" w:type="dxa"/>
            <w:shd w:val="clear" w:color="auto" w:fill="1F4E79" w:themeFill="accent1" w:themeFillShade="80"/>
          </w:tcPr>
          <w:p w:rsidR="002D5A26" w:rsidRPr="00D876F2" w:rsidRDefault="002D5A26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D5A26" w:rsidRPr="00D876F2" w:rsidRDefault="002D5A26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Reference in 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2D5A26" w:rsidRPr="00D876F2" w:rsidRDefault="00186145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Description of Amendment</w:t>
            </w:r>
          </w:p>
        </w:tc>
        <w:tc>
          <w:tcPr>
            <w:tcW w:w="3780" w:type="dxa"/>
            <w:shd w:val="clear" w:color="auto" w:fill="1F4E79" w:themeFill="accent1" w:themeFillShade="80"/>
          </w:tcPr>
          <w:p w:rsidR="002D5A26" w:rsidRPr="00D876F2" w:rsidRDefault="002D5A26" w:rsidP="002D5A26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Notes</w:t>
            </w:r>
          </w:p>
        </w:tc>
      </w:tr>
      <w:tr w:rsidR="002D5A26" w:rsidRPr="000D5E93" w:rsidTr="00426C9B">
        <w:trPr>
          <w:trHeight w:val="1180"/>
        </w:trPr>
        <w:tc>
          <w:tcPr>
            <w:tcW w:w="715" w:type="dxa"/>
            <w:shd w:val="clear" w:color="auto" w:fill="DEEAF6" w:themeFill="accent1" w:themeFillTint="33"/>
          </w:tcPr>
          <w:p w:rsidR="002D5A26" w:rsidRPr="000D5E93" w:rsidRDefault="006A2E48" w:rsidP="003E4841">
            <w:pPr>
              <w:spacing w:before="240"/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1.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521F71" w:rsidRPr="000D5E93" w:rsidRDefault="00521F71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2 of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521F71" w:rsidRDefault="00296EFF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 </w:t>
            </w:r>
            <w:r w:rsidR="00521F71">
              <w:rPr>
                <w:rFonts w:ascii="Garamond" w:hAnsi="Garamond"/>
              </w:rPr>
              <w:t>Interpretation.</w:t>
            </w:r>
          </w:p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0D5E93" w:rsidRPr="000D5E93" w:rsidRDefault="000D5E93" w:rsidP="00521F71">
            <w:pPr>
              <w:spacing w:before="240"/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Section 2 of the Insurance Act, in this Act referred</w:t>
            </w:r>
          </w:p>
          <w:p w:rsidR="000D5E93" w:rsidRPr="000D5E93" w:rsidRDefault="000D5E93" w:rsidP="000D5E93">
            <w:pPr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to as the “principal Act”, is amended in the definition of</w:t>
            </w:r>
          </w:p>
          <w:p w:rsidR="000D5E93" w:rsidRPr="000D5E93" w:rsidRDefault="000D5E93" w:rsidP="000D5E93">
            <w:pPr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the expression “insurance business” by inserting the</w:t>
            </w:r>
          </w:p>
          <w:p w:rsidR="000D5E93" w:rsidRPr="000D5E93" w:rsidRDefault="000D5E93" w:rsidP="000D5E93">
            <w:pPr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following new paragraph immediately after paragraph</w:t>
            </w:r>
          </w:p>
          <w:p w:rsidR="000D5E93" w:rsidRPr="000D5E93" w:rsidRDefault="000D5E93" w:rsidP="000D5E93">
            <w:pPr>
              <w:rPr>
                <w:rFonts w:ascii="Garamond" w:hAnsi="Garamond"/>
              </w:rPr>
            </w:pPr>
            <w:r w:rsidRPr="000D5E93">
              <w:rPr>
                <w:rFonts w:ascii="Garamond" w:hAnsi="Garamond"/>
              </w:rPr>
              <w:t>(c)—</w:t>
            </w:r>
          </w:p>
          <w:p w:rsidR="002D5A26" w:rsidRPr="00EB68F9" w:rsidRDefault="00EB5991" w:rsidP="00EB68F9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</w:rPr>
            </w:pPr>
            <w:r w:rsidRPr="00EB68F9">
              <w:rPr>
                <w:rFonts w:ascii="Garamond" w:hAnsi="Garamond"/>
                <w:i/>
                <w:iCs/>
              </w:rPr>
              <w:t>Takaful</w:t>
            </w:r>
            <w:r w:rsidR="000D5E93" w:rsidRPr="00EB68F9">
              <w:rPr>
                <w:rFonts w:ascii="Garamond" w:hAnsi="Garamond"/>
                <w:i/>
                <w:iCs/>
              </w:rPr>
              <w:t xml:space="preserve"> </w:t>
            </w:r>
            <w:r w:rsidR="000D5E93" w:rsidRPr="00EB68F9">
              <w:rPr>
                <w:rFonts w:ascii="Garamond" w:hAnsi="Garamond"/>
              </w:rPr>
              <w:t>insurance business based on group participation guaranteeing each of the members against defined loss or damage.</w:t>
            </w:r>
          </w:p>
          <w:p w:rsidR="00C96CDD" w:rsidRPr="000D5E93" w:rsidRDefault="00C96CDD" w:rsidP="000D5E93">
            <w:pPr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</w:tr>
      <w:tr w:rsidR="002D5A26" w:rsidRPr="000D5E93" w:rsidTr="00426C9B">
        <w:trPr>
          <w:trHeight w:val="1250"/>
        </w:trPr>
        <w:tc>
          <w:tcPr>
            <w:tcW w:w="715" w:type="dxa"/>
            <w:shd w:val="clear" w:color="auto" w:fill="DEEAF6" w:themeFill="accent1" w:themeFillTint="33"/>
          </w:tcPr>
          <w:p w:rsidR="002D5A26" w:rsidRDefault="000D5E93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 </w:t>
            </w:r>
          </w:p>
          <w:p w:rsidR="000D5E93" w:rsidRPr="000D5E93" w:rsidRDefault="000D5E93" w:rsidP="00521F71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521F71" w:rsidRDefault="00521F71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Insertion of new section 19A to Cap. 487.</w:t>
            </w:r>
          </w:p>
          <w:p w:rsidR="00521F71" w:rsidRDefault="00521F71" w:rsidP="00521F71">
            <w:pPr>
              <w:rPr>
                <w:rFonts w:ascii="Garamond" w:hAnsi="Garamond"/>
                <w:i/>
              </w:rPr>
            </w:pPr>
          </w:p>
          <w:p w:rsidR="002D5A26" w:rsidRPr="000D5E93" w:rsidRDefault="002D5A26" w:rsidP="0091791B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EB5991" w:rsidRPr="000D5E93" w:rsidRDefault="00296EFF" w:rsidP="0091791B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  <w:r w:rsidR="0091791B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>.</w:t>
            </w:r>
            <w:r w:rsidR="0091791B" w:rsidRPr="00EB5991">
              <w:rPr>
                <w:rFonts w:ascii="Garamond" w:hAnsi="Garamond"/>
                <w:i/>
              </w:rPr>
              <w:t xml:space="preserve"> Takaful</w:t>
            </w:r>
            <w:r w:rsidR="0091791B">
              <w:rPr>
                <w:rFonts w:ascii="Garamond" w:hAnsi="Garamond"/>
              </w:rPr>
              <w:t xml:space="preserve"> insurance business.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2D5A26" w:rsidRDefault="00D720FC" w:rsidP="00521F71">
            <w:pPr>
              <w:spacing w:before="240"/>
              <w:rPr>
                <w:rFonts w:ascii="Garamond" w:hAnsi="Garamond"/>
              </w:rPr>
            </w:pPr>
            <w:r w:rsidRPr="00D720FC">
              <w:rPr>
                <w:rFonts w:ascii="Garamond" w:hAnsi="Garamond"/>
              </w:rPr>
              <w:t>The principal Act is amended by inserting the</w:t>
            </w:r>
            <w:r>
              <w:rPr>
                <w:rFonts w:ascii="Garamond" w:hAnsi="Garamond"/>
              </w:rPr>
              <w:t xml:space="preserve"> </w:t>
            </w:r>
            <w:r w:rsidRPr="00D720FC">
              <w:rPr>
                <w:rFonts w:ascii="Garamond" w:hAnsi="Garamond"/>
              </w:rPr>
              <w:t>following new section immediately after 19—</w:t>
            </w:r>
          </w:p>
          <w:p w:rsidR="00C96CDD" w:rsidRDefault="00C96CDD" w:rsidP="00521F71">
            <w:pPr>
              <w:rPr>
                <w:rFonts w:ascii="Garamond" w:hAnsi="Garamond"/>
                <w:b/>
                <w:bCs/>
              </w:rPr>
            </w:pPr>
          </w:p>
          <w:p w:rsidR="00D720FC" w:rsidRPr="00EB5991" w:rsidRDefault="00D720FC" w:rsidP="00521F71">
            <w:pPr>
              <w:rPr>
                <w:rFonts w:ascii="Garamond" w:hAnsi="Garamond"/>
              </w:rPr>
            </w:pPr>
            <w:r w:rsidRPr="00EB5991">
              <w:rPr>
                <w:rFonts w:ascii="Garamond" w:hAnsi="Garamond"/>
                <w:b/>
                <w:bCs/>
              </w:rPr>
              <w:t>19A</w:t>
            </w:r>
            <w:r w:rsidRPr="00EB5991">
              <w:rPr>
                <w:rFonts w:ascii="Garamond" w:hAnsi="Garamond"/>
              </w:rPr>
              <w:t>. (1) A person shall not undertake</w:t>
            </w:r>
            <w:r w:rsidR="00C96CDD" w:rsidRPr="00EB5991">
              <w:rPr>
                <w:rFonts w:ascii="Garamond" w:hAnsi="Garamond"/>
              </w:rPr>
              <w:t xml:space="preserve"> </w:t>
            </w:r>
            <w:r w:rsidRPr="00EB5991">
              <w:rPr>
                <w:rFonts w:ascii="Garamond" w:hAnsi="Garamond"/>
                <w:i/>
                <w:iCs/>
              </w:rPr>
              <w:t xml:space="preserve">takaful </w:t>
            </w:r>
            <w:r w:rsidRPr="00EB5991">
              <w:rPr>
                <w:rFonts w:ascii="Garamond" w:hAnsi="Garamond"/>
              </w:rPr>
              <w:t xml:space="preserve">insurance business </w:t>
            </w:r>
            <w:r w:rsidR="00EB5991" w:rsidRPr="00EB5991">
              <w:rPr>
                <w:rFonts w:ascii="Garamond" w:hAnsi="Garamond"/>
              </w:rPr>
              <w:t xml:space="preserve">      </w:t>
            </w:r>
            <w:r w:rsidRPr="00EB5991">
              <w:rPr>
                <w:rFonts w:ascii="Garamond" w:hAnsi="Garamond"/>
              </w:rPr>
              <w:t>unless that person</w:t>
            </w:r>
            <w:r w:rsidR="00C96CDD" w:rsidRPr="00EB5991">
              <w:rPr>
                <w:rFonts w:ascii="Garamond" w:hAnsi="Garamond"/>
              </w:rPr>
              <w:t xml:space="preserve"> </w:t>
            </w:r>
            <w:r w:rsidRPr="00EB5991">
              <w:rPr>
                <w:rFonts w:ascii="Garamond" w:hAnsi="Garamond"/>
              </w:rPr>
              <w:t>is licensed under this Act except where that</w:t>
            </w:r>
          </w:p>
          <w:p w:rsidR="00D720FC" w:rsidRPr="00D720FC" w:rsidRDefault="0065512F" w:rsidP="00521F71">
            <w:pPr>
              <w:rPr>
                <w:rFonts w:ascii="Garamond" w:hAnsi="Garamond"/>
              </w:rPr>
            </w:pPr>
            <w:r w:rsidRPr="00D720FC">
              <w:rPr>
                <w:rFonts w:ascii="Garamond" w:hAnsi="Garamond"/>
              </w:rPr>
              <w:t>Person</w:t>
            </w:r>
            <w:r w:rsidR="00D720FC" w:rsidRPr="00D720FC">
              <w:rPr>
                <w:rFonts w:ascii="Garamond" w:hAnsi="Garamond"/>
              </w:rPr>
              <w:t xml:space="preserve"> is exempted in accordance with this</w:t>
            </w:r>
            <w:r w:rsidR="00C96CDD">
              <w:rPr>
                <w:rFonts w:ascii="Garamond" w:hAnsi="Garamond"/>
              </w:rPr>
              <w:t xml:space="preserve"> </w:t>
            </w:r>
            <w:r w:rsidR="00D720FC" w:rsidRPr="00D720FC">
              <w:rPr>
                <w:rFonts w:ascii="Garamond" w:hAnsi="Garamond"/>
              </w:rPr>
              <w:t>Act.</w:t>
            </w:r>
          </w:p>
          <w:p w:rsidR="00C96CDD" w:rsidRPr="000D5E93" w:rsidRDefault="00C96CDD" w:rsidP="00D119FC">
            <w:pPr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2D5A26" w:rsidRPr="000D5E93" w:rsidRDefault="002D5A26" w:rsidP="00521F71">
            <w:pPr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1250"/>
        </w:trPr>
        <w:tc>
          <w:tcPr>
            <w:tcW w:w="715" w:type="dxa"/>
            <w:shd w:val="clear" w:color="auto" w:fill="DEEAF6" w:themeFill="accent1" w:themeFillTint="33"/>
          </w:tcPr>
          <w:p w:rsidR="00D119FC" w:rsidRDefault="00D119FC" w:rsidP="003E484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Default="00D119FC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Default="00D119FC" w:rsidP="0091791B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Pr="00D720FC" w:rsidRDefault="00D119FC" w:rsidP="00D119FC">
            <w:pPr>
              <w:spacing w:before="240"/>
              <w:rPr>
                <w:rFonts w:ascii="Garamond" w:hAnsi="Garamond"/>
              </w:rPr>
            </w:pPr>
            <w:r w:rsidRPr="00D720FC">
              <w:rPr>
                <w:rFonts w:ascii="Garamond" w:hAnsi="Garamond"/>
              </w:rPr>
              <w:t>(2) The Cabinet Secretary may, after</w:t>
            </w:r>
            <w:r>
              <w:rPr>
                <w:rFonts w:ascii="Garamond" w:hAnsi="Garamond"/>
              </w:rPr>
              <w:t xml:space="preserve"> </w:t>
            </w:r>
            <w:r w:rsidRPr="00D720FC">
              <w:rPr>
                <w:rFonts w:ascii="Garamond" w:hAnsi="Garamond"/>
              </w:rPr>
              <w:t>consultation with the Authority, make</w:t>
            </w:r>
            <w:r>
              <w:rPr>
                <w:rFonts w:ascii="Garamond" w:hAnsi="Garamond"/>
              </w:rPr>
              <w:t xml:space="preserve"> </w:t>
            </w:r>
            <w:r w:rsidRPr="00D720FC">
              <w:rPr>
                <w:rFonts w:ascii="Garamond" w:hAnsi="Garamond"/>
              </w:rPr>
              <w:t>Regulations providing for the licensing and</w:t>
            </w:r>
          </w:p>
          <w:p w:rsidR="00D119FC" w:rsidRDefault="0065512F" w:rsidP="00D119FC">
            <w:pPr>
              <w:rPr>
                <w:rFonts w:ascii="Garamond" w:hAnsi="Garamond"/>
              </w:rPr>
            </w:pPr>
            <w:bookmarkStart w:id="0" w:name="_GoBack"/>
            <w:bookmarkEnd w:id="0"/>
            <w:r w:rsidRPr="00D720FC">
              <w:rPr>
                <w:rFonts w:ascii="Garamond" w:hAnsi="Garamond"/>
              </w:rPr>
              <w:t>Supervision</w:t>
            </w:r>
            <w:r w:rsidR="00D119FC" w:rsidRPr="00D720FC">
              <w:rPr>
                <w:rFonts w:ascii="Garamond" w:hAnsi="Garamond"/>
              </w:rPr>
              <w:t xml:space="preserve"> by the Authority of persons</w:t>
            </w:r>
            <w:r w:rsidR="00D119FC">
              <w:rPr>
                <w:rFonts w:ascii="Garamond" w:hAnsi="Garamond"/>
              </w:rPr>
              <w:t xml:space="preserve"> </w:t>
            </w:r>
            <w:r w:rsidR="00D119FC" w:rsidRPr="00D720FC">
              <w:rPr>
                <w:rFonts w:ascii="Garamond" w:hAnsi="Garamond"/>
              </w:rPr>
              <w:t xml:space="preserve">carrying on </w:t>
            </w:r>
            <w:r w:rsidR="00D119FC" w:rsidRPr="00D720FC">
              <w:rPr>
                <w:rFonts w:ascii="Garamond" w:hAnsi="Garamond"/>
                <w:i/>
                <w:iCs/>
              </w:rPr>
              <w:t xml:space="preserve">takaful </w:t>
            </w:r>
            <w:r w:rsidR="00D119FC" w:rsidRPr="00D720FC">
              <w:rPr>
                <w:rFonts w:ascii="Garamond" w:hAnsi="Garamond"/>
              </w:rPr>
              <w:t>insurance business.</w:t>
            </w:r>
          </w:p>
          <w:p w:rsidR="00D119FC" w:rsidRPr="00D720FC" w:rsidRDefault="00D119FC" w:rsidP="00D119FC">
            <w:pPr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D119FC" w:rsidRPr="000D5E93" w:rsidRDefault="00D119FC" w:rsidP="00521F71">
            <w:pPr>
              <w:rPr>
                <w:rFonts w:ascii="Garamond" w:hAnsi="Garamond"/>
              </w:rPr>
            </w:pPr>
          </w:p>
        </w:tc>
      </w:tr>
      <w:tr w:rsidR="002D5A26" w:rsidRPr="000D5E93" w:rsidTr="00426C9B">
        <w:trPr>
          <w:trHeight w:val="3092"/>
        </w:trPr>
        <w:tc>
          <w:tcPr>
            <w:tcW w:w="715" w:type="dxa"/>
            <w:shd w:val="clear" w:color="auto" w:fill="DEEAF6" w:themeFill="accent1" w:themeFillTint="33"/>
          </w:tcPr>
          <w:p w:rsidR="002D5A26" w:rsidRDefault="00D720FC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</w:t>
            </w:r>
          </w:p>
          <w:p w:rsidR="00D720FC" w:rsidRPr="000D5E93" w:rsidRDefault="00D720FC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Default="00813B23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25 of Cap. 487.</w:t>
            </w:r>
          </w:p>
          <w:p w:rsidR="002D5A26" w:rsidRPr="000D5E93" w:rsidRDefault="002D5A26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Pr="000D5E93" w:rsidRDefault="00296EFF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25. </w:t>
            </w:r>
            <w:r w:rsidR="00813B23" w:rsidRPr="00D720FC">
              <w:rPr>
                <w:rFonts w:ascii="Garamond" w:hAnsi="Garamond"/>
              </w:rPr>
              <w:t>Requirement as to capital structure and voting rights</w:t>
            </w:r>
            <w:r w:rsidR="00813B23">
              <w:rPr>
                <w:rFonts w:ascii="Garamond" w:hAnsi="Garamond"/>
              </w:rPr>
              <w:t>.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462FAB" w:rsidRDefault="00D720FC" w:rsidP="00521F71">
            <w:pPr>
              <w:spacing w:before="240"/>
              <w:rPr>
                <w:rFonts w:ascii="Garamond" w:hAnsi="Garamond"/>
              </w:rPr>
            </w:pPr>
            <w:r w:rsidRPr="00D720FC">
              <w:rPr>
                <w:rFonts w:ascii="Garamond" w:hAnsi="Garamond"/>
              </w:rPr>
              <w:t>Section 25 of the principal Act is amended in</w:t>
            </w:r>
            <w:r w:rsidR="00C96CDD">
              <w:rPr>
                <w:rFonts w:ascii="Garamond" w:hAnsi="Garamond"/>
              </w:rPr>
              <w:t xml:space="preserve"> </w:t>
            </w:r>
            <w:r w:rsidRPr="00D720FC">
              <w:rPr>
                <w:rFonts w:ascii="Garamond" w:hAnsi="Garamond"/>
              </w:rPr>
              <w:t>subsection (1)—</w:t>
            </w:r>
          </w:p>
          <w:p w:rsidR="00D720FC" w:rsidRDefault="00D720FC" w:rsidP="00521F71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Garamond" w:hAnsi="Garamond"/>
              </w:rPr>
            </w:pPr>
            <w:r w:rsidRPr="00462FAB">
              <w:rPr>
                <w:rFonts w:ascii="Garamond" w:hAnsi="Garamond"/>
              </w:rPr>
              <w:t>by deleting paragraph (a) and substituting therefor</w:t>
            </w:r>
            <w:r w:rsidR="00C96CDD" w:rsidRPr="00462FAB">
              <w:rPr>
                <w:rFonts w:ascii="Garamond" w:hAnsi="Garamond"/>
              </w:rPr>
              <w:t xml:space="preserve"> </w:t>
            </w:r>
            <w:r w:rsidRPr="00462FAB">
              <w:rPr>
                <w:rFonts w:ascii="Garamond" w:hAnsi="Garamond"/>
              </w:rPr>
              <w:t>the following paragraph—</w:t>
            </w:r>
          </w:p>
          <w:p w:rsidR="00521F71" w:rsidRPr="00521F71" w:rsidRDefault="00521F71" w:rsidP="00521F71">
            <w:pPr>
              <w:pStyle w:val="ListParagraph"/>
              <w:spacing w:before="240"/>
              <w:ind w:left="360"/>
              <w:rPr>
                <w:rFonts w:ascii="Garamond" w:hAnsi="Garamond"/>
              </w:rPr>
            </w:pPr>
          </w:p>
          <w:p w:rsidR="00D720FC" w:rsidRDefault="00D720FC" w:rsidP="00521F71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Garamond" w:hAnsi="Garamond"/>
              </w:rPr>
            </w:pPr>
            <w:r w:rsidRPr="006421B7">
              <w:rPr>
                <w:rFonts w:ascii="Garamond" w:hAnsi="Garamond"/>
              </w:rPr>
              <w:t>that the cap</w:t>
            </w:r>
            <w:r w:rsidR="00C96CDD" w:rsidRPr="006421B7">
              <w:rPr>
                <w:rFonts w:ascii="Garamond" w:hAnsi="Garamond"/>
              </w:rPr>
              <w:t xml:space="preserve">ital of the insurer may consist </w:t>
            </w:r>
            <w:r w:rsidRPr="006421B7">
              <w:rPr>
                <w:rFonts w:ascii="Garamond" w:hAnsi="Garamond"/>
              </w:rPr>
              <w:t>of—</w:t>
            </w:r>
          </w:p>
          <w:p w:rsidR="00D720FC" w:rsidRPr="006421B7" w:rsidRDefault="00D720FC" w:rsidP="00521F71">
            <w:pPr>
              <w:pStyle w:val="ListParagraph"/>
              <w:numPr>
                <w:ilvl w:val="2"/>
                <w:numId w:val="2"/>
              </w:numPr>
              <w:spacing w:before="240"/>
              <w:rPr>
                <w:rFonts w:ascii="Garamond" w:hAnsi="Garamond"/>
              </w:rPr>
            </w:pPr>
            <w:r w:rsidRPr="006421B7">
              <w:rPr>
                <w:rFonts w:ascii="Garamond" w:hAnsi="Garamond"/>
              </w:rPr>
              <w:t>in the case of a new company, ordinary</w:t>
            </w:r>
            <w:r w:rsidR="00C96CDD" w:rsidRPr="006421B7"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shares each of which has a single face</w:t>
            </w:r>
            <w:r w:rsidR="00C96CDD" w:rsidRPr="006421B7"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value with voting rights and shall be</w:t>
            </w:r>
            <w:r w:rsidR="00C96CDD" w:rsidRPr="006421B7"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irredeemable, and non-cumulative</w:t>
            </w:r>
            <w:r w:rsidR="00C96CDD" w:rsidRPr="006421B7"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preference shares; and</w:t>
            </w:r>
          </w:p>
          <w:p w:rsidR="00521F71" w:rsidRPr="000D5E93" w:rsidRDefault="00521F71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2D5A26" w:rsidRPr="000D5E93" w:rsidRDefault="002D5A26" w:rsidP="00521F71">
            <w:pPr>
              <w:spacing w:before="240"/>
              <w:rPr>
                <w:rFonts w:ascii="Garamond" w:hAnsi="Garamond"/>
              </w:rPr>
            </w:pPr>
          </w:p>
        </w:tc>
      </w:tr>
      <w:tr w:rsidR="00BD1872" w:rsidRPr="00BD1872" w:rsidTr="00FC2829">
        <w:trPr>
          <w:trHeight w:val="620"/>
          <w:tblHeader/>
        </w:trPr>
        <w:tc>
          <w:tcPr>
            <w:tcW w:w="715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lastRenderedPageBreak/>
              <w:t>No.</w:t>
            </w:r>
          </w:p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</w:p>
        </w:tc>
        <w:tc>
          <w:tcPr>
            <w:tcW w:w="189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Reference in</w:t>
            </w:r>
            <w:r w:rsidR="00FC2829"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the</w:t>
            </w: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Description of Amendment</w:t>
            </w:r>
          </w:p>
        </w:tc>
        <w:tc>
          <w:tcPr>
            <w:tcW w:w="378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Notes</w:t>
            </w:r>
          </w:p>
        </w:tc>
      </w:tr>
      <w:tr w:rsidR="002D5A26" w:rsidRPr="000D5E93" w:rsidTr="00426C9B">
        <w:trPr>
          <w:trHeight w:val="1250"/>
        </w:trPr>
        <w:tc>
          <w:tcPr>
            <w:tcW w:w="715" w:type="dxa"/>
            <w:shd w:val="clear" w:color="auto" w:fill="DEEAF6" w:themeFill="accent1" w:themeFillTint="33"/>
          </w:tcPr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462FAB" w:rsidRDefault="00462FAB" w:rsidP="00C96CDD">
            <w:pPr>
              <w:rPr>
                <w:rFonts w:ascii="Garamond" w:hAnsi="Garamond"/>
              </w:rPr>
            </w:pPr>
          </w:p>
          <w:p w:rsidR="002D5A26" w:rsidRPr="006421B7" w:rsidRDefault="006421B7" w:rsidP="00200B97">
            <w:pPr>
              <w:pStyle w:val="ListParagraph"/>
              <w:numPr>
                <w:ilvl w:val="2"/>
                <w:numId w:val="3"/>
              </w:numPr>
              <w:rPr>
                <w:rFonts w:ascii="Garamond" w:hAnsi="Garamond"/>
              </w:rPr>
            </w:pPr>
            <w:r w:rsidRPr="006421B7">
              <w:rPr>
                <w:rFonts w:ascii="Garamond" w:hAnsi="Garamond"/>
              </w:rPr>
              <w:t>In</w:t>
            </w:r>
            <w:r w:rsidR="00C96CDD" w:rsidRPr="006421B7">
              <w:rPr>
                <w:rFonts w:ascii="Garamond" w:hAnsi="Garamond"/>
              </w:rPr>
              <w:t xml:space="preserve"> the case of existing insurers, in addition to the capital in subparagraph (1), subordinated loans as may be approved by</w:t>
            </w:r>
            <w:r>
              <w:rPr>
                <w:rFonts w:ascii="Garamond" w:hAnsi="Garamond"/>
              </w:rPr>
              <w:t xml:space="preserve"> </w:t>
            </w:r>
            <w:r w:rsidR="00C96CDD" w:rsidRPr="006421B7">
              <w:rPr>
                <w:rFonts w:ascii="Garamond" w:hAnsi="Garamond"/>
              </w:rPr>
              <w:t>the Authority, share premiums, reserves and any other form of capital as may be determined by the Authority from time to</w:t>
            </w:r>
            <w:r>
              <w:rPr>
                <w:rFonts w:ascii="Garamond" w:hAnsi="Garamond"/>
              </w:rPr>
              <w:t xml:space="preserve"> </w:t>
            </w:r>
            <w:r w:rsidR="00C96CDD" w:rsidRPr="006421B7">
              <w:rPr>
                <w:rFonts w:ascii="Garamond" w:hAnsi="Garamond"/>
              </w:rPr>
              <w:t>time.</w:t>
            </w:r>
          </w:p>
        </w:tc>
        <w:tc>
          <w:tcPr>
            <w:tcW w:w="3780" w:type="dxa"/>
          </w:tcPr>
          <w:p w:rsidR="002D5A26" w:rsidRDefault="002D5A26" w:rsidP="002D5A26">
            <w:pPr>
              <w:rPr>
                <w:rFonts w:ascii="Garamond" w:hAnsi="Garamond"/>
              </w:rPr>
            </w:pPr>
          </w:p>
          <w:p w:rsidR="00462FAB" w:rsidRDefault="00462FAB" w:rsidP="002D5A26">
            <w:pPr>
              <w:rPr>
                <w:rFonts w:ascii="Garamond" w:hAnsi="Garamond"/>
              </w:rPr>
            </w:pPr>
          </w:p>
          <w:p w:rsidR="00462FAB" w:rsidRDefault="00462FAB" w:rsidP="002D5A26">
            <w:pPr>
              <w:rPr>
                <w:rFonts w:ascii="Garamond" w:hAnsi="Garamond"/>
              </w:rPr>
            </w:pPr>
          </w:p>
          <w:p w:rsidR="00462FAB" w:rsidRDefault="00462FAB" w:rsidP="002D5A26">
            <w:pPr>
              <w:rPr>
                <w:rFonts w:ascii="Garamond" w:hAnsi="Garamond"/>
              </w:rPr>
            </w:pPr>
          </w:p>
          <w:p w:rsidR="00462FAB" w:rsidRDefault="00462FAB" w:rsidP="002D5A26">
            <w:pPr>
              <w:rPr>
                <w:rFonts w:ascii="Garamond" w:hAnsi="Garamond"/>
              </w:rPr>
            </w:pPr>
          </w:p>
          <w:p w:rsidR="00462FAB" w:rsidRDefault="00462FAB" w:rsidP="002D5A26">
            <w:pPr>
              <w:rPr>
                <w:rFonts w:ascii="Garamond" w:hAnsi="Garamond"/>
              </w:rPr>
            </w:pPr>
          </w:p>
          <w:p w:rsidR="00462FAB" w:rsidRPr="000D5E93" w:rsidRDefault="00462FAB" w:rsidP="002D5A26">
            <w:pPr>
              <w:rPr>
                <w:rFonts w:ascii="Garamond" w:hAnsi="Garamond"/>
              </w:rPr>
            </w:pPr>
          </w:p>
        </w:tc>
      </w:tr>
      <w:tr w:rsidR="00D720FC" w:rsidRPr="000D5E93" w:rsidTr="00426C9B">
        <w:trPr>
          <w:trHeight w:val="1250"/>
        </w:trPr>
        <w:tc>
          <w:tcPr>
            <w:tcW w:w="715" w:type="dxa"/>
            <w:shd w:val="clear" w:color="auto" w:fill="DEEAF6" w:themeFill="accent1" w:themeFillTint="33"/>
          </w:tcPr>
          <w:p w:rsidR="00D720FC" w:rsidRPr="000D5E93" w:rsidRDefault="00D720FC" w:rsidP="002D5A26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720FC" w:rsidRPr="000D5E93" w:rsidRDefault="00D720FC" w:rsidP="002D5A26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720FC" w:rsidRPr="000D5E93" w:rsidRDefault="00D720FC" w:rsidP="002D5A26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462FAB" w:rsidRDefault="00462FAB" w:rsidP="00462FAB">
            <w:pPr>
              <w:rPr>
                <w:rFonts w:ascii="Garamond" w:hAnsi="Garamond"/>
              </w:rPr>
            </w:pPr>
          </w:p>
          <w:p w:rsidR="00462FAB" w:rsidRPr="006421B7" w:rsidRDefault="00462FAB" w:rsidP="006421B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6421B7">
              <w:rPr>
                <w:rFonts w:ascii="Garamond" w:hAnsi="Garamond"/>
              </w:rPr>
              <w:t>by inserting the following new subsection immediately after subsection (1)—</w:t>
            </w:r>
          </w:p>
          <w:p w:rsidR="006421B7" w:rsidRDefault="006421B7" w:rsidP="00462FAB">
            <w:pPr>
              <w:rPr>
                <w:rFonts w:ascii="Garamond" w:hAnsi="Garamond"/>
              </w:rPr>
            </w:pPr>
          </w:p>
          <w:p w:rsidR="00D720FC" w:rsidRDefault="00462FAB" w:rsidP="00462FAB">
            <w:pPr>
              <w:rPr>
                <w:rFonts w:ascii="Garamond" w:hAnsi="Garamond"/>
              </w:rPr>
            </w:pPr>
            <w:r w:rsidRPr="00462FAB">
              <w:rPr>
                <w:rFonts w:ascii="Garamond" w:hAnsi="Garamond"/>
              </w:rPr>
              <w:t>(1A) The capital provided under subsection</w:t>
            </w:r>
            <w:r>
              <w:rPr>
                <w:rFonts w:ascii="Garamond" w:hAnsi="Garamond"/>
              </w:rPr>
              <w:t xml:space="preserve"> </w:t>
            </w:r>
            <w:r w:rsidRPr="00462FAB">
              <w:rPr>
                <w:rFonts w:ascii="Garamond" w:hAnsi="Garamond"/>
              </w:rPr>
              <w:t>(1)(a) shall not rank in priority to policyholders’</w:t>
            </w:r>
            <w:r>
              <w:rPr>
                <w:rFonts w:ascii="Garamond" w:hAnsi="Garamond"/>
              </w:rPr>
              <w:t xml:space="preserve"> </w:t>
            </w:r>
            <w:r w:rsidRPr="00462FAB">
              <w:rPr>
                <w:rFonts w:ascii="Garamond" w:hAnsi="Garamond"/>
              </w:rPr>
              <w:t>interest at the time of liquidation.</w:t>
            </w:r>
          </w:p>
          <w:p w:rsidR="00462FAB" w:rsidRPr="000D5E93" w:rsidRDefault="00462FAB" w:rsidP="00462FAB">
            <w:pPr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D720FC" w:rsidRPr="000D5E93" w:rsidRDefault="00D720FC" w:rsidP="002D5A26">
            <w:pPr>
              <w:rPr>
                <w:rFonts w:ascii="Garamond" w:hAnsi="Garamond"/>
              </w:rPr>
            </w:pPr>
          </w:p>
        </w:tc>
      </w:tr>
      <w:tr w:rsidR="002D5A26" w:rsidRPr="000D5E93" w:rsidTr="00426C9B">
        <w:trPr>
          <w:trHeight w:val="1180"/>
        </w:trPr>
        <w:tc>
          <w:tcPr>
            <w:tcW w:w="715" w:type="dxa"/>
            <w:shd w:val="clear" w:color="auto" w:fill="DEEAF6" w:themeFill="accent1" w:themeFillTint="33"/>
          </w:tcPr>
          <w:p w:rsidR="002D5A26" w:rsidRDefault="006421B7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</w:t>
            </w:r>
          </w:p>
          <w:p w:rsidR="006421B7" w:rsidRPr="000D5E93" w:rsidRDefault="006421B7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EB5991" w:rsidRPr="000D5E93" w:rsidRDefault="00813B23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Repeal and replacement of section 41 of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Default="00296EFF" w:rsidP="00521F7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41. </w:t>
            </w:r>
            <w:r w:rsidR="00813B23">
              <w:rPr>
                <w:rFonts w:ascii="Garamond" w:hAnsi="Garamond"/>
              </w:rPr>
              <w:t>Capital Adequacy.</w:t>
            </w:r>
          </w:p>
          <w:p w:rsidR="002D5A26" w:rsidRPr="000D5E93" w:rsidRDefault="002D5A26" w:rsidP="00521F7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6421B7" w:rsidRDefault="006421B7" w:rsidP="00521F71">
            <w:pPr>
              <w:spacing w:before="240"/>
              <w:rPr>
                <w:rFonts w:ascii="Garamond" w:hAnsi="Garamond"/>
              </w:rPr>
            </w:pPr>
            <w:r w:rsidRPr="006421B7">
              <w:rPr>
                <w:rFonts w:ascii="Garamond" w:hAnsi="Garamond"/>
              </w:rPr>
              <w:t>The principal Act is amended by repealing section</w:t>
            </w:r>
            <w:r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41 and substituting therefor the following section—</w:t>
            </w:r>
          </w:p>
          <w:p w:rsidR="006421B7" w:rsidRDefault="006421B7" w:rsidP="00EB68F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(1) </w:t>
            </w:r>
            <w:r w:rsidRPr="006421B7">
              <w:rPr>
                <w:rFonts w:ascii="Garamond" w:hAnsi="Garamond"/>
              </w:rPr>
              <w:t>An insurer carrying on</w:t>
            </w:r>
            <w:r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insurance business in Kenya shall at</w:t>
            </w:r>
            <w:r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all times maintain the capital adequacy</w:t>
            </w:r>
            <w:r>
              <w:rPr>
                <w:rFonts w:ascii="Garamond" w:hAnsi="Garamond"/>
              </w:rPr>
              <w:t xml:space="preserve"> </w:t>
            </w:r>
            <w:r w:rsidRPr="006421B7">
              <w:rPr>
                <w:rFonts w:ascii="Garamond" w:hAnsi="Garamond"/>
              </w:rPr>
              <w:t>ratio of one hundred per centum.</w:t>
            </w:r>
          </w:p>
          <w:p w:rsidR="006421B7" w:rsidRDefault="006421B7" w:rsidP="00521F71">
            <w:pPr>
              <w:pStyle w:val="ListParagraph"/>
              <w:spacing w:before="240"/>
              <w:ind w:left="360"/>
              <w:rPr>
                <w:rFonts w:ascii="Garamond" w:hAnsi="Garamond"/>
              </w:rPr>
            </w:pPr>
          </w:p>
          <w:p w:rsidR="006421B7" w:rsidRDefault="006421B7" w:rsidP="00521F71">
            <w:pPr>
              <w:pStyle w:val="ListParagraph"/>
              <w:spacing w:before="240"/>
              <w:ind w:left="3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(2) </w:t>
            </w:r>
            <w:r w:rsidR="00EB5991" w:rsidRPr="00EB5991">
              <w:rPr>
                <w:rFonts w:ascii="Garamond" w:hAnsi="Garamond"/>
              </w:rPr>
              <w:t>An insurer carr</w:t>
            </w:r>
            <w:r w:rsidR="00EB5991">
              <w:rPr>
                <w:rFonts w:ascii="Garamond" w:hAnsi="Garamond"/>
              </w:rPr>
              <w:t xml:space="preserve">ying on both long </w:t>
            </w:r>
            <w:r w:rsidR="00EB5991" w:rsidRPr="00EB5991">
              <w:rPr>
                <w:rFonts w:ascii="Garamond" w:hAnsi="Garamond"/>
              </w:rPr>
              <w:t>term and general insurance business shall at</w:t>
            </w:r>
            <w:r w:rsidR="00EB5991">
              <w:rPr>
                <w:rFonts w:ascii="Garamond" w:hAnsi="Garamond"/>
              </w:rPr>
              <w:t xml:space="preserve"> </w:t>
            </w:r>
            <w:r w:rsidR="00EB5991" w:rsidRPr="00EB5991">
              <w:rPr>
                <w:rFonts w:ascii="Garamond" w:hAnsi="Garamond"/>
              </w:rPr>
              <w:t>all times maintain separate capital adequacy</w:t>
            </w:r>
            <w:r w:rsidR="00EB5991">
              <w:rPr>
                <w:rFonts w:ascii="Garamond" w:hAnsi="Garamond"/>
              </w:rPr>
              <w:t xml:space="preserve"> </w:t>
            </w:r>
            <w:r w:rsidR="00EB5991" w:rsidRPr="00EB5991">
              <w:rPr>
                <w:rFonts w:ascii="Garamond" w:hAnsi="Garamond"/>
              </w:rPr>
              <w:t>ratios.</w:t>
            </w:r>
          </w:p>
          <w:p w:rsidR="00EB5991" w:rsidRPr="00EB5991" w:rsidRDefault="00EB5991" w:rsidP="00521F71">
            <w:pPr>
              <w:pStyle w:val="ListParagraph"/>
              <w:spacing w:before="240"/>
              <w:ind w:left="360"/>
              <w:rPr>
                <w:rFonts w:ascii="Garamond" w:hAnsi="Garamond"/>
              </w:rPr>
            </w:pPr>
          </w:p>
        </w:tc>
        <w:tc>
          <w:tcPr>
            <w:tcW w:w="3780" w:type="dxa"/>
          </w:tcPr>
          <w:p w:rsidR="002D5A26" w:rsidRPr="000D5E93" w:rsidRDefault="002D5A26" w:rsidP="00521F71">
            <w:pPr>
              <w:spacing w:before="240"/>
              <w:rPr>
                <w:rFonts w:ascii="Garamond" w:hAnsi="Garamond"/>
              </w:rPr>
            </w:pPr>
          </w:p>
        </w:tc>
      </w:tr>
    </w:tbl>
    <w:p w:rsidR="00BB0FF3" w:rsidRDefault="00BB0FF3"/>
    <w:tbl>
      <w:tblPr>
        <w:tblStyle w:val="TableGrid"/>
        <w:tblpPr w:leftFromText="180" w:rightFromText="180" w:vertAnchor="text" w:horzAnchor="margin" w:tblpXSpec="center" w:tblpY="-689"/>
        <w:tblW w:w="1387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1890"/>
        <w:gridCol w:w="5760"/>
        <w:gridCol w:w="3700"/>
      </w:tblGrid>
      <w:tr w:rsidR="00BD1872" w:rsidRPr="000D5E93" w:rsidTr="00FC2829">
        <w:trPr>
          <w:trHeight w:val="620"/>
          <w:tblHeader/>
        </w:trPr>
        <w:tc>
          <w:tcPr>
            <w:tcW w:w="72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lastRenderedPageBreak/>
              <w:t>No.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Reference in</w:t>
            </w:r>
            <w:r w:rsidR="00FC2829"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the</w:t>
            </w: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Description of Amendment</w:t>
            </w:r>
          </w:p>
        </w:tc>
        <w:tc>
          <w:tcPr>
            <w:tcW w:w="3700" w:type="dxa"/>
            <w:shd w:val="clear" w:color="auto" w:fill="1F4E79" w:themeFill="accent1" w:themeFillShade="80"/>
          </w:tcPr>
          <w:p w:rsidR="00BD1872" w:rsidRPr="00D876F2" w:rsidRDefault="00BD1872" w:rsidP="00BD1872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Notes</w:t>
            </w:r>
          </w:p>
        </w:tc>
      </w:tr>
      <w:tr w:rsidR="00FC2829" w:rsidRPr="000D5E93" w:rsidTr="00426C9B">
        <w:trPr>
          <w:trHeight w:val="260"/>
        </w:trPr>
        <w:tc>
          <w:tcPr>
            <w:tcW w:w="720" w:type="dxa"/>
            <w:shd w:val="clear" w:color="auto" w:fill="DEEAF6" w:themeFill="accent1" w:themeFillTint="33"/>
          </w:tcPr>
          <w:p w:rsidR="00EB5991" w:rsidRDefault="00EB5991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</w:t>
            </w: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Pr="000D5E93" w:rsidRDefault="00BB0FF3" w:rsidP="002D5A26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BB0FF3" w:rsidRDefault="00813B23" w:rsidP="003E4841">
            <w:pPr>
              <w:spacing w:before="240"/>
              <w:rPr>
                <w:rFonts w:ascii="Garamond" w:hAnsi="Garamond"/>
              </w:rPr>
            </w:pPr>
            <w:r w:rsidRPr="00EB5991">
              <w:rPr>
                <w:rFonts w:ascii="Garamond" w:hAnsi="Garamond"/>
              </w:rPr>
              <w:t xml:space="preserve">Repeal </w:t>
            </w:r>
            <w:r>
              <w:rPr>
                <w:rFonts w:ascii="Garamond" w:hAnsi="Garamond"/>
              </w:rPr>
              <w:t>and replacement of section 42</w:t>
            </w:r>
            <w:r w:rsidRPr="00EB5991">
              <w:rPr>
                <w:rFonts w:ascii="Garamond" w:hAnsi="Garamond"/>
              </w:rPr>
              <w:t xml:space="preserve"> of Cap. 487.</w:t>
            </w: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Pr="000D5E93" w:rsidRDefault="00BB0FF3" w:rsidP="002D5A26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Default="00296EFF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42. </w:t>
            </w:r>
            <w:r w:rsidR="00813B23">
              <w:rPr>
                <w:rFonts w:ascii="Garamond" w:hAnsi="Garamond"/>
              </w:rPr>
              <w:t>Determination of capital required.</w:t>
            </w:r>
          </w:p>
          <w:p w:rsidR="00813B23" w:rsidRDefault="00813B23" w:rsidP="00813B23">
            <w:pPr>
              <w:rPr>
                <w:rFonts w:ascii="Garamond" w:hAnsi="Garamond"/>
              </w:rPr>
            </w:pPr>
          </w:p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2D5A26" w:rsidRDefault="00EB5991" w:rsidP="003E4841">
            <w:pPr>
              <w:spacing w:before="240"/>
              <w:rPr>
                <w:rFonts w:ascii="Garamond" w:hAnsi="Garamond"/>
              </w:rPr>
            </w:pPr>
            <w:r w:rsidRPr="00EB5991">
              <w:rPr>
                <w:rFonts w:ascii="Garamond" w:hAnsi="Garamond"/>
              </w:rPr>
              <w:t>The principal Act is amended by repealing section</w:t>
            </w:r>
            <w:r>
              <w:rPr>
                <w:rFonts w:ascii="Garamond" w:hAnsi="Garamond"/>
              </w:rPr>
              <w:t xml:space="preserve"> </w:t>
            </w:r>
            <w:r w:rsidRPr="00EB5991">
              <w:rPr>
                <w:rFonts w:ascii="Garamond" w:hAnsi="Garamond"/>
              </w:rPr>
              <w:t>42 and replacing it with the following new section—</w:t>
            </w:r>
          </w:p>
          <w:p w:rsidR="00EB5991" w:rsidRDefault="00EB5991" w:rsidP="00EB5991">
            <w:pPr>
              <w:rPr>
                <w:rFonts w:ascii="Garamond" w:hAnsi="Garamond"/>
              </w:rPr>
            </w:pPr>
          </w:p>
          <w:p w:rsidR="00EB5991" w:rsidRDefault="00BB0FF3" w:rsidP="00BB0FF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B0FF3">
              <w:rPr>
                <w:rFonts w:ascii="Garamond" w:hAnsi="Garamond"/>
              </w:rPr>
              <w:t>(1) In determining the capital</w:t>
            </w:r>
            <w:r>
              <w:rPr>
                <w:rFonts w:ascii="Garamond" w:hAnsi="Garamond"/>
              </w:rPr>
              <w:t xml:space="preserve"> </w:t>
            </w:r>
            <w:r w:rsidRPr="00BB0FF3">
              <w:rPr>
                <w:rFonts w:ascii="Garamond" w:hAnsi="Garamond"/>
              </w:rPr>
              <w:t>required, an insurer shall—</w:t>
            </w:r>
          </w:p>
          <w:p w:rsidR="00BB0FF3" w:rsidRDefault="00BB0FF3" w:rsidP="00BB0FF3">
            <w:pPr>
              <w:pStyle w:val="ListParagraph"/>
              <w:ind w:left="360"/>
              <w:rPr>
                <w:rFonts w:ascii="Garamond" w:hAnsi="Garamond"/>
              </w:rPr>
            </w:pPr>
          </w:p>
          <w:p w:rsidR="00BB0FF3" w:rsidRDefault="00BB0FF3" w:rsidP="00D64AEC">
            <w:pPr>
              <w:pStyle w:val="ListParagraph"/>
              <w:numPr>
                <w:ilvl w:val="1"/>
                <w:numId w:val="17"/>
              </w:numPr>
              <w:rPr>
                <w:rFonts w:ascii="Garamond" w:hAnsi="Garamond"/>
              </w:rPr>
            </w:pPr>
            <w:r w:rsidRPr="00BB0FF3">
              <w:rPr>
                <w:rFonts w:ascii="Garamond" w:hAnsi="Garamond"/>
              </w:rPr>
              <w:t>take into consideration the capital</w:t>
            </w:r>
            <w:r>
              <w:rPr>
                <w:rFonts w:ascii="Garamond" w:hAnsi="Garamond"/>
              </w:rPr>
              <w:t xml:space="preserve"> </w:t>
            </w:r>
            <w:r w:rsidRPr="00BB0FF3">
              <w:rPr>
                <w:rFonts w:ascii="Garamond" w:hAnsi="Garamond"/>
              </w:rPr>
              <w:t>for insurance risk, market risk,</w:t>
            </w:r>
            <w:r>
              <w:rPr>
                <w:rFonts w:ascii="Garamond" w:hAnsi="Garamond"/>
              </w:rPr>
              <w:t xml:space="preserve"> </w:t>
            </w:r>
            <w:r w:rsidRPr="00BB0FF3">
              <w:rPr>
                <w:rFonts w:ascii="Garamond" w:hAnsi="Garamond"/>
              </w:rPr>
              <w:t>credit risk and operational risk;</w:t>
            </w:r>
            <w:r>
              <w:rPr>
                <w:rFonts w:ascii="Garamond" w:hAnsi="Garamond"/>
              </w:rPr>
              <w:t xml:space="preserve"> </w:t>
            </w:r>
            <w:r w:rsidRPr="00BB0FF3">
              <w:rPr>
                <w:rFonts w:ascii="Garamond" w:hAnsi="Garamond"/>
              </w:rPr>
              <w:t>and</w:t>
            </w:r>
          </w:p>
          <w:p w:rsidR="00BB0FF3" w:rsidRDefault="00BB0FF3" w:rsidP="00BB0FF3">
            <w:pPr>
              <w:pStyle w:val="ListParagraph"/>
              <w:rPr>
                <w:rFonts w:ascii="Garamond" w:hAnsi="Garamond"/>
              </w:rPr>
            </w:pPr>
          </w:p>
          <w:p w:rsidR="00BB0FF3" w:rsidRDefault="00BB0FF3" w:rsidP="00D64AEC">
            <w:pPr>
              <w:pStyle w:val="ListParagraph"/>
              <w:numPr>
                <w:ilvl w:val="1"/>
                <w:numId w:val="17"/>
              </w:numPr>
              <w:rPr>
                <w:rFonts w:ascii="Garamond" w:hAnsi="Garamond"/>
              </w:rPr>
            </w:pPr>
            <w:r w:rsidRPr="00BB0FF3">
              <w:rPr>
                <w:rFonts w:ascii="Garamond" w:hAnsi="Garamond"/>
              </w:rPr>
              <w:t>apply such capital charges on</w:t>
            </w:r>
            <w:r>
              <w:rPr>
                <w:rFonts w:ascii="Garamond" w:hAnsi="Garamond"/>
              </w:rPr>
              <w:t xml:space="preserve"> </w:t>
            </w:r>
            <w:r w:rsidRPr="00BB0FF3">
              <w:rPr>
                <w:rFonts w:ascii="Garamond" w:hAnsi="Garamond"/>
              </w:rPr>
              <w:t>assets and liabilities as shall be determined by the Authority from time to time.</w:t>
            </w:r>
          </w:p>
          <w:p w:rsidR="00BB0FF3" w:rsidRPr="00D119FC" w:rsidRDefault="00BB0FF3" w:rsidP="00D119FC">
            <w:pPr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2D5A26" w:rsidRDefault="002D5A26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Default="00BB0FF3" w:rsidP="002D5A26">
            <w:pPr>
              <w:rPr>
                <w:rFonts w:ascii="Garamond" w:hAnsi="Garamond"/>
              </w:rPr>
            </w:pPr>
          </w:p>
          <w:p w:rsidR="00BB0FF3" w:rsidRPr="000D5E93" w:rsidRDefault="00BB0FF3" w:rsidP="002D5A26">
            <w:pPr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260"/>
        </w:trPr>
        <w:tc>
          <w:tcPr>
            <w:tcW w:w="720" w:type="dxa"/>
            <w:shd w:val="clear" w:color="auto" w:fill="DEEAF6" w:themeFill="accent1" w:themeFillTint="33"/>
          </w:tcPr>
          <w:p w:rsidR="00D119FC" w:rsidRDefault="00D119FC" w:rsidP="003E484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D119FC" w:rsidRPr="00EB5991" w:rsidRDefault="00D119FC" w:rsidP="003E484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Default="00D119FC" w:rsidP="003E4841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Default="00D119FC" w:rsidP="00D119FC">
            <w:pPr>
              <w:pStyle w:val="ListParagraph"/>
              <w:spacing w:before="240"/>
              <w:ind w:left="3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(2) </w:t>
            </w:r>
            <w:r w:rsidRPr="00813B23">
              <w:rPr>
                <w:rFonts w:ascii="Garamond" w:hAnsi="Garamond"/>
              </w:rPr>
              <w:t>F</w:t>
            </w:r>
            <w:r>
              <w:rPr>
                <w:rFonts w:ascii="Garamond" w:hAnsi="Garamond"/>
              </w:rPr>
              <w:t xml:space="preserve">or the purpose of this section, </w:t>
            </w:r>
            <w:r w:rsidRPr="00813B23">
              <w:rPr>
                <w:rFonts w:ascii="Garamond" w:hAnsi="Garamond"/>
              </w:rPr>
              <w:t>“capital charge” means the proportion of</w:t>
            </w:r>
            <w:r>
              <w:rPr>
                <w:rFonts w:ascii="Garamond" w:hAnsi="Garamond"/>
              </w:rPr>
              <w:t xml:space="preserve"> </w:t>
            </w:r>
            <w:r w:rsidRPr="00813B23">
              <w:rPr>
                <w:rFonts w:ascii="Garamond" w:hAnsi="Garamond"/>
              </w:rPr>
              <w:t>capital required to take care of the potential deterioration of the economic value of an asset and the uncertainty in estimating</w:t>
            </w:r>
            <w:r>
              <w:rPr>
                <w:rFonts w:ascii="Garamond" w:hAnsi="Garamond"/>
              </w:rPr>
              <w:t xml:space="preserve"> </w:t>
            </w:r>
            <w:r w:rsidRPr="00813B23">
              <w:rPr>
                <w:rFonts w:ascii="Garamond" w:hAnsi="Garamond"/>
              </w:rPr>
              <w:t xml:space="preserve">liability due </w:t>
            </w:r>
            <w:r>
              <w:rPr>
                <w:rFonts w:ascii="Garamond" w:hAnsi="Garamond"/>
              </w:rPr>
              <w:t xml:space="preserve">to the occurrence of an adverse </w:t>
            </w:r>
            <w:r w:rsidRPr="00813B23">
              <w:rPr>
                <w:rFonts w:ascii="Garamond" w:hAnsi="Garamond"/>
              </w:rPr>
              <w:t>event.</w:t>
            </w:r>
          </w:p>
          <w:p w:rsidR="00D119FC" w:rsidRPr="00EB5991" w:rsidRDefault="00D119FC" w:rsidP="00D119FC">
            <w:pPr>
              <w:pStyle w:val="ListParagraph"/>
              <w:ind w:left="36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D119FC" w:rsidRDefault="00D119FC" w:rsidP="002D5A26">
            <w:pPr>
              <w:rPr>
                <w:rFonts w:ascii="Garamond" w:hAnsi="Garamond"/>
              </w:rPr>
            </w:pPr>
          </w:p>
        </w:tc>
      </w:tr>
      <w:tr w:rsidR="00FC2829" w:rsidRPr="000D5E93" w:rsidTr="00426C9B">
        <w:trPr>
          <w:trHeight w:val="932"/>
        </w:trPr>
        <w:tc>
          <w:tcPr>
            <w:tcW w:w="720" w:type="dxa"/>
            <w:shd w:val="clear" w:color="auto" w:fill="DEEAF6" w:themeFill="accent1" w:themeFillTint="33"/>
          </w:tcPr>
          <w:p w:rsidR="002D5A26" w:rsidRDefault="00813B23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</w:t>
            </w:r>
          </w:p>
          <w:p w:rsidR="00813B23" w:rsidRPr="000D5E93" w:rsidRDefault="00813B23" w:rsidP="002D5A26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2D5A26" w:rsidRPr="000D5E93" w:rsidRDefault="00813B23" w:rsidP="003E4841">
            <w:pPr>
              <w:spacing w:before="240"/>
              <w:rPr>
                <w:rFonts w:ascii="Garamond" w:hAnsi="Garamond"/>
              </w:rPr>
            </w:pPr>
            <w:r w:rsidRPr="00813B23">
              <w:rPr>
                <w:rFonts w:ascii="Garamond" w:hAnsi="Garamond"/>
              </w:rPr>
              <w:t>Repeal of section 43</w:t>
            </w:r>
            <w:r>
              <w:rPr>
                <w:rFonts w:ascii="Garamond" w:hAnsi="Garamond"/>
              </w:rPr>
              <w:t xml:space="preserve"> </w:t>
            </w:r>
            <w:r w:rsidRPr="00813B23">
              <w:rPr>
                <w:rFonts w:ascii="Garamond" w:hAnsi="Garamond"/>
              </w:rPr>
              <w:t>of Cap.487.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2D5A26" w:rsidRPr="000D5E93" w:rsidRDefault="00296EFF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43. </w:t>
            </w:r>
            <w:r w:rsidR="00813B23" w:rsidRPr="00813B23">
              <w:rPr>
                <w:rFonts w:ascii="Garamond" w:hAnsi="Garamond"/>
              </w:rPr>
              <w:t>Admitted liabilities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2D5A26" w:rsidRPr="000D5E93" w:rsidRDefault="00521F71" w:rsidP="003E4841">
            <w:pPr>
              <w:spacing w:before="240"/>
              <w:rPr>
                <w:rFonts w:ascii="Garamond" w:hAnsi="Garamond"/>
              </w:rPr>
            </w:pPr>
            <w:r w:rsidRPr="00521F71">
              <w:rPr>
                <w:rFonts w:ascii="Garamond" w:hAnsi="Garamond"/>
              </w:rPr>
              <w:t>The principal Act is amended by repealing section</w:t>
            </w:r>
            <w:r>
              <w:rPr>
                <w:rFonts w:ascii="Garamond" w:hAnsi="Garamond"/>
              </w:rPr>
              <w:t xml:space="preserve"> </w:t>
            </w:r>
            <w:r w:rsidRPr="00521F71">
              <w:rPr>
                <w:rFonts w:ascii="Garamond" w:hAnsi="Garamond"/>
              </w:rPr>
              <w:t>43.</w:t>
            </w:r>
          </w:p>
        </w:tc>
        <w:tc>
          <w:tcPr>
            <w:tcW w:w="3700" w:type="dxa"/>
          </w:tcPr>
          <w:p w:rsidR="002D5A26" w:rsidRPr="000D5E93" w:rsidRDefault="002D5A26" w:rsidP="002D5A26">
            <w:pPr>
              <w:rPr>
                <w:rFonts w:ascii="Garamond" w:hAnsi="Garamond"/>
              </w:rPr>
            </w:pPr>
          </w:p>
        </w:tc>
      </w:tr>
      <w:tr w:rsidR="00813B23" w:rsidRPr="000D5E93" w:rsidTr="00426C9B">
        <w:trPr>
          <w:trHeight w:val="890"/>
        </w:trPr>
        <w:tc>
          <w:tcPr>
            <w:tcW w:w="720" w:type="dxa"/>
            <w:shd w:val="clear" w:color="auto" w:fill="DEEAF6" w:themeFill="accent1" w:themeFillTint="33"/>
          </w:tcPr>
          <w:p w:rsidR="00813B23" w:rsidRDefault="00521F71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</w:t>
            </w:r>
          </w:p>
          <w:p w:rsidR="00521F71" w:rsidRPr="000D5E93" w:rsidRDefault="00521F71" w:rsidP="002D5A26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813B23" w:rsidRPr="000D5E93" w:rsidRDefault="00521F71" w:rsidP="003E4841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57 of Cap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Pr="000D5E93" w:rsidRDefault="00296EFF" w:rsidP="00296EFF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57. </w:t>
            </w:r>
            <w:r w:rsidRPr="00296EFF">
              <w:rPr>
                <w:rFonts w:ascii="Garamond" w:hAnsi="Garamond"/>
              </w:rPr>
              <w:t>Actuarial investigation.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813B23" w:rsidRDefault="00521F71" w:rsidP="003E4841">
            <w:pPr>
              <w:spacing w:before="240"/>
              <w:rPr>
                <w:rFonts w:ascii="Garamond" w:hAnsi="Garamond"/>
              </w:rPr>
            </w:pPr>
            <w:r w:rsidRPr="00521F71">
              <w:rPr>
                <w:rFonts w:ascii="Garamond" w:hAnsi="Garamond"/>
              </w:rPr>
              <w:t>Section 57 of the Insurance Act is amended—</w:t>
            </w:r>
          </w:p>
          <w:p w:rsidR="003E4841" w:rsidRDefault="003E4841" w:rsidP="003E4841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 w:rsidRPr="003E4841">
              <w:rPr>
                <w:rFonts w:ascii="Garamond" w:hAnsi="Garamond"/>
              </w:rPr>
              <w:t>in subsection (1)—</w:t>
            </w:r>
          </w:p>
          <w:p w:rsidR="003E4841" w:rsidRDefault="003E4841" w:rsidP="003E4841">
            <w:pPr>
              <w:pStyle w:val="ListParagraph"/>
              <w:numPr>
                <w:ilvl w:val="2"/>
                <w:numId w:val="7"/>
              </w:numPr>
              <w:rPr>
                <w:rFonts w:ascii="Garamond" w:hAnsi="Garamond"/>
              </w:rPr>
            </w:pPr>
            <w:r w:rsidRPr="003E4841">
              <w:rPr>
                <w:rFonts w:ascii="Garamond" w:hAnsi="Garamond"/>
              </w:rPr>
              <w:t>by deleting the words “who carries on long</w:t>
            </w:r>
            <w:r>
              <w:rPr>
                <w:rFonts w:ascii="Garamond" w:hAnsi="Garamond"/>
              </w:rPr>
              <w:t xml:space="preserve"> </w:t>
            </w:r>
            <w:r w:rsidRPr="003E4841">
              <w:rPr>
                <w:rFonts w:ascii="Garamond" w:hAnsi="Garamond"/>
              </w:rPr>
              <w:t>term insurance business”;</w:t>
            </w:r>
          </w:p>
          <w:p w:rsidR="003E4841" w:rsidRDefault="003E4841" w:rsidP="003E4841">
            <w:pPr>
              <w:pStyle w:val="ListParagraph"/>
              <w:numPr>
                <w:ilvl w:val="2"/>
                <w:numId w:val="7"/>
              </w:numPr>
              <w:rPr>
                <w:rFonts w:ascii="Garamond" w:hAnsi="Garamond"/>
              </w:rPr>
            </w:pPr>
            <w:r w:rsidRPr="003E4841">
              <w:rPr>
                <w:rFonts w:ascii="Garamond" w:hAnsi="Garamond"/>
              </w:rPr>
              <w:t>by inserting the words “by the Authority”</w:t>
            </w:r>
            <w:r>
              <w:rPr>
                <w:rFonts w:ascii="Garamond" w:hAnsi="Garamond"/>
              </w:rPr>
              <w:t xml:space="preserve"> </w:t>
            </w:r>
            <w:r w:rsidRPr="003E4841">
              <w:rPr>
                <w:rFonts w:ascii="Garamond" w:hAnsi="Garamond"/>
              </w:rPr>
              <w:t>immediately after the words “prescribed” appearing in paragraph (b);</w:t>
            </w:r>
          </w:p>
          <w:p w:rsidR="003E4841" w:rsidRDefault="003E4841" w:rsidP="003E4841">
            <w:pPr>
              <w:pStyle w:val="ListParagraph"/>
              <w:numPr>
                <w:ilvl w:val="2"/>
                <w:numId w:val="7"/>
              </w:numPr>
              <w:rPr>
                <w:rFonts w:ascii="Garamond" w:hAnsi="Garamond"/>
              </w:rPr>
            </w:pPr>
            <w:r w:rsidRPr="003E4841">
              <w:rPr>
                <w:rFonts w:ascii="Garamond" w:hAnsi="Garamond"/>
              </w:rPr>
              <w:t>by deleting the proviso appearing</w:t>
            </w:r>
            <w:r>
              <w:rPr>
                <w:rFonts w:ascii="Garamond" w:hAnsi="Garamond"/>
              </w:rPr>
              <w:t xml:space="preserve"> </w:t>
            </w:r>
            <w:r w:rsidRPr="003E4841">
              <w:rPr>
                <w:rFonts w:ascii="Garamond" w:hAnsi="Garamond"/>
              </w:rPr>
              <w:t>immediately after paragraph (b);</w:t>
            </w:r>
          </w:p>
          <w:p w:rsidR="000C122A" w:rsidRDefault="000C122A" w:rsidP="000C122A">
            <w:pPr>
              <w:pStyle w:val="ListParagraph"/>
              <w:ind w:left="900"/>
              <w:rPr>
                <w:rFonts w:ascii="Garamond" w:hAnsi="Garamond"/>
              </w:rPr>
            </w:pPr>
          </w:p>
          <w:p w:rsidR="003E4841" w:rsidRDefault="003E4841" w:rsidP="00200B97">
            <w:pPr>
              <w:rPr>
                <w:rFonts w:ascii="Garamond" w:hAnsi="Garamond"/>
              </w:rPr>
            </w:pPr>
          </w:p>
          <w:p w:rsidR="00200B97" w:rsidRPr="00200B97" w:rsidRDefault="00200B97" w:rsidP="00200B97">
            <w:pPr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813B23" w:rsidRPr="000D5E93" w:rsidRDefault="00813B23" w:rsidP="002D5A26">
            <w:pPr>
              <w:rPr>
                <w:rFonts w:ascii="Garamond" w:hAnsi="Garamond"/>
              </w:rPr>
            </w:pPr>
          </w:p>
        </w:tc>
      </w:tr>
      <w:tr w:rsidR="00C03266" w:rsidRPr="00712A36" w:rsidTr="00FC2829">
        <w:trPr>
          <w:trHeight w:val="710"/>
        </w:trPr>
        <w:tc>
          <w:tcPr>
            <w:tcW w:w="720" w:type="dxa"/>
            <w:shd w:val="clear" w:color="auto" w:fill="1F4E79" w:themeFill="accent1" w:themeFillShade="80"/>
          </w:tcPr>
          <w:p w:rsidR="00C03266" w:rsidRPr="00D876F2" w:rsidRDefault="00712A36" w:rsidP="003A186A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lastRenderedPageBreak/>
              <w:t>No.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C03266" w:rsidRPr="00D876F2" w:rsidRDefault="00712A36" w:rsidP="003A186A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C03266" w:rsidRPr="00D876F2" w:rsidRDefault="00712A36" w:rsidP="003A186A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Reference in</w:t>
            </w:r>
            <w:r w:rsidR="00FC2829"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the</w:t>
            </w: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C03266" w:rsidRPr="00D876F2" w:rsidRDefault="00712A36" w:rsidP="003A186A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Description of Amendment </w:t>
            </w:r>
          </w:p>
        </w:tc>
        <w:tc>
          <w:tcPr>
            <w:tcW w:w="3700" w:type="dxa"/>
            <w:shd w:val="clear" w:color="auto" w:fill="1F4E79" w:themeFill="accent1" w:themeFillShade="80"/>
          </w:tcPr>
          <w:p w:rsidR="00C03266" w:rsidRPr="00D876F2" w:rsidRDefault="00712A36" w:rsidP="003A186A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Notes</w:t>
            </w:r>
          </w:p>
        </w:tc>
      </w:tr>
      <w:tr w:rsidR="00200B97" w:rsidRPr="00712A36" w:rsidTr="00426C9B">
        <w:trPr>
          <w:trHeight w:val="710"/>
        </w:trPr>
        <w:tc>
          <w:tcPr>
            <w:tcW w:w="720" w:type="dxa"/>
            <w:shd w:val="clear" w:color="auto" w:fill="DEEAF6" w:themeFill="accent1" w:themeFillTint="33"/>
          </w:tcPr>
          <w:p w:rsidR="00200B97" w:rsidRPr="00712A36" w:rsidRDefault="00200B97" w:rsidP="003A186A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200B97" w:rsidRPr="00712A36" w:rsidRDefault="00200B97" w:rsidP="003A186A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200B97" w:rsidRPr="00712A36" w:rsidRDefault="00200B97" w:rsidP="003A186A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200B97" w:rsidRDefault="00200B97" w:rsidP="00660EF9">
            <w:pPr>
              <w:pStyle w:val="ListParagraph"/>
              <w:numPr>
                <w:ilvl w:val="0"/>
                <w:numId w:val="20"/>
              </w:num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 subsection (2) – </w:t>
            </w:r>
          </w:p>
          <w:p w:rsidR="00200B97" w:rsidRDefault="00200B97" w:rsidP="00200B97">
            <w:pPr>
              <w:pStyle w:val="ListParagraph"/>
              <w:numPr>
                <w:ilvl w:val="2"/>
                <w:numId w:val="20"/>
              </w:numPr>
              <w:rPr>
                <w:rFonts w:ascii="Garamond" w:hAnsi="Garamond"/>
              </w:rPr>
            </w:pPr>
            <w:r w:rsidRPr="00200B97">
              <w:rPr>
                <w:rFonts w:ascii="Garamond" w:hAnsi="Garamond"/>
              </w:rPr>
              <w:t>by deleting the words “to his long term”</w:t>
            </w:r>
            <w:r>
              <w:rPr>
                <w:rFonts w:ascii="Garamond" w:hAnsi="Garamond"/>
              </w:rPr>
              <w:t xml:space="preserve"> </w:t>
            </w:r>
            <w:r w:rsidRPr="00200B97">
              <w:rPr>
                <w:rFonts w:ascii="Garamond" w:hAnsi="Garamond"/>
              </w:rPr>
              <w:t>appearing in paragraph (a);</w:t>
            </w:r>
          </w:p>
          <w:p w:rsidR="00200B97" w:rsidRDefault="00200B97" w:rsidP="00200B97">
            <w:pPr>
              <w:pStyle w:val="ListParagraph"/>
              <w:numPr>
                <w:ilvl w:val="2"/>
                <w:numId w:val="20"/>
              </w:numPr>
              <w:rPr>
                <w:rFonts w:ascii="Garamond" w:hAnsi="Garamond"/>
              </w:rPr>
            </w:pPr>
            <w:r w:rsidRPr="00200B97">
              <w:rPr>
                <w:rFonts w:ascii="Garamond" w:hAnsi="Garamond"/>
              </w:rPr>
              <w:t>by deleting paragraph (b) and substituting</w:t>
            </w:r>
            <w:r>
              <w:rPr>
                <w:rFonts w:ascii="Garamond" w:hAnsi="Garamond"/>
              </w:rPr>
              <w:t xml:space="preserve"> </w:t>
            </w:r>
            <w:r w:rsidRPr="00200B97">
              <w:rPr>
                <w:rFonts w:ascii="Garamond" w:hAnsi="Garamond"/>
              </w:rPr>
              <w:t>therefor the following paragraph—</w:t>
            </w:r>
          </w:p>
          <w:p w:rsidR="00200B97" w:rsidRPr="00660EF9" w:rsidRDefault="00200B97" w:rsidP="00660EF9">
            <w:pPr>
              <w:pStyle w:val="ListParagraph"/>
              <w:numPr>
                <w:ilvl w:val="1"/>
                <w:numId w:val="20"/>
              </w:numPr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in respect to long-term insurance business</w:t>
            </w:r>
            <w:r w:rsidR="00660EF9" w:rsidRPr="00660EF9"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or any other funded insurance business, a</w:t>
            </w:r>
            <w:r w:rsidR="00660EF9" w:rsidRPr="00660EF9"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determination of any excess over those liabilities of the assets representing the fund or funds maintained by the insurer in respect of that business; and where any rights of any long term policyholders to participate in profits relate to particular parts of such a fund, a determination of any excess of assets over liabilities in respect of each of those parts.</w:t>
            </w:r>
          </w:p>
          <w:p w:rsidR="00200B97" w:rsidRPr="00200B97" w:rsidRDefault="00200B97" w:rsidP="003A186A">
            <w:pPr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200B97" w:rsidRPr="00712A36" w:rsidRDefault="00200B97" w:rsidP="003A186A">
            <w:pPr>
              <w:rPr>
                <w:rFonts w:ascii="Garamond" w:hAnsi="Garamond"/>
                <w:b/>
                <w:sz w:val="24"/>
              </w:rPr>
            </w:pPr>
          </w:p>
        </w:tc>
      </w:tr>
      <w:tr w:rsidR="00660EF9" w:rsidRPr="000D5E93" w:rsidTr="00426C9B">
        <w:trPr>
          <w:trHeight w:val="710"/>
        </w:trPr>
        <w:tc>
          <w:tcPr>
            <w:tcW w:w="720" w:type="dxa"/>
            <w:shd w:val="clear" w:color="auto" w:fill="DEEAF6" w:themeFill="accent1" w:themeFillTint="33"/>
          </w:tcPr>
          <w:p w:rsidR="00660EF9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660EF9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660EF9" w:rsidRPr="00BA65DE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660EF9" w:rsidRDefault="00660EF9" w:rsidP="00660EF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by inserting the following new paragraph</w:t>
            </w:r>
            <w:r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immediately after paragraph (b)—</w:t>
            </w:r>
          </w:p>
          <w:p w:rsidR="00660EF9" w:rsidRDefault="00660EF9" w:rsidP="00660EF9">
            <w:pPr>
              <w:pStyle w:val="ListParagraph"/>
              <w:numPr>
                <w:ilvl w:val="0"/>
                <w:numId w:val="25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a financial condition report in the form</w:t>
            </w:r>
            <w:r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prescribed by the Authority providing an assessment of material risks and issues impacting on the financial condition of the insurer;</w:t>
            </w:r>
          </w:p>
          <w:p w:rsidR="00660EF9" w:rsidRPr="00660EF9" w:rsidRDefault="00660EF9" w:rsidP="00660EF9">
            <w:pPr>
              <w:pStyle w:val="ListParagraph"/>
              <w:spacing w:before="240"/>
              <w:ind w:left="108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660EF9" w:rsidRPr="000D5E93" w:rsidRDefault="00660EF9" w:rsidP="003A186A">
            <w:pPr>
              <w:rPr>
                <w:rFonts w:ascii="Garamond" w:hAnsi="Garamond"/>
              </w:rPr>
            </w:pPr>
          </w:p>
        </w:tc>
      </w:tr>
      <w:tr w:rsidR="00660EF9" w:rsidRPr="000D5E93" w:rsidTr="00426C9B">
        <w:trPr>
          <w:trHeight w:val="710"/>
        </w:trPr>
        <w:tc>
          <w:tcPr>
            <w:tcW w:w="720" w:type="dxa"/>
            <w:shd w:val="clear" w:color="auto" w:fill="DEEAF6" w:themeFill="accent1" w:themeFillTint="33"/>
          </w:tcPr>
          <w:p w:rsidR="00660EF9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660EF9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660EF9" w:rsidRPr="00BA65DE" w:rsidRDefault="00660EF9" w:rsidP="003A186A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660EF9" w:rsidRDefault="00660EF9" w:rsidP="00660EF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in subsection (3)—</w:t>
            </w:r>
          </w:p>
          <w:p w:rsidR="00660EF9" w:rsidRDefault="00660EF9" w:rsidP="00660EF9">
            <w:pPr>
              <w:pStyle w:val="ListParagraph"/>
              <w:numPr>
                <w:ilvl w:val="2"/>
                <w:numId w:val="2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by inserting the words “by the Authority”</w:t>
            </w:r>
            <w:r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immediately after the word “prescribed”;</w:t>
            </w:r>
          </w:p>
          <w:p w:rsidR="00660EF9" w:rsidRPr="00660EF9" w:rsidRDefault="00660EF9" w:rsidP="00660EF9">
            <w:pPr>
              <w:pStyle w:val="ListParagraph"/>
              <w:numPr>
                <w:ilvl w:val="2"/>
                <w:numId w:val="2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by deleting the words “of its long term</w:t>
            </w:r>
          </w:p>
          <w:p w:rsidR="00660EF9" w:rsidRDefault="00660EF9" w:rsidP="00660EF9">
            <w:pPr>
              <w:pStyle w:val="ListParagraph"/>
              <w:numPr>
                <w:ilvl w:val="2"/>
                <w:numId w:val="2"/>
              </w:numPr>
              <w:spacing w:before="240"/>
              <w:rPr>
                <w:rFonts w:ascii="Garamond" w:hAnsi="Garamond"/>
              </w:rPr>
            </w:pPr>
            <w:r w:rsidRPr="00660EF9">
              <w:rPr>
                <w:rFonts w:ascii="Garamond" w:hAnsi="Garamond"/>
              </w:rPr>
              <w:t>insurance business as on the date on which</w:t>
            </w:r>
            <w:r>
              <w:rPr>
                <w:rFonts w:ascii="Garamond" w:hAnsi="Garamond"/>
              </w:rPr>
              <w:t xml:space="preserve"> </w:t>
            </w:r>
            <w:r w:rsidRPr="00660EF9">
              <w:rPr>
                <w:rFonts w:ascii="Garamond" w:hAnsi="Garamond"/>
              </w:rPr>
              <w:t>the investigation is made”;</w:t>
            </w:r>
          </w:p>
          <w:p w:rsidR="00660EF9" w:rsidRPr="00660EF9" w:rsidRDefault="00660EF9" w:rsidP="00660EF9">
            <w:pPr>
              <w:pStyle w:val="ListParagraph"/>
              <w:spacing w:before="240"/>
              <w:ind w:left="99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660EF9" w:rsidRPr="000D5E93" w:rsidRDefault="00660EF9" w:rsidP="003A186A">
            <w:pPr>
              <w:rPr>
                <w:rFonts w:ascii="Garamond" w:hAnsi="Garamond"/>
              </w:rPr>
            </w:pPr>
          </w:p>
        </w:tc>
      </w:tr>
      <w:tr w:rsidR="00660EF9" w:rsidRPr="00660EF9" w:rsidTr="00FC2829">
        <w:trPr>
          <w:trHeight w:val="710"/>
        </w:trPr>
        <w:tc>
          <w:tcPr>
            <w:tcW w:w="720" w:type="dxa"/>
            <w:shd w:val="clear" w:color="auto" w:fill="1F4E79" w:themeFill="accent1" w:themeFillShade="80"/>
          </w:tcPr>
          <w:p w:rsidR="00660EF9" w:rsidRPr="00D876F2" w:rsidRDefault="00660EF9" w:rsidP="00660EF9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lastRenderedPageBreak/>
              <w:t>No.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660EF9" w:rsidRPr="00D876F2" w:rsidRDefault="00660EF9" w:rsidP="00660EF9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660EF9" w:rsidRPr="00D876F2" w:rsidRDefault="00660EF9" w:rsidP="00660EF9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Reference in </w:t>
            </w:r>
            <w:r w:rsidR="00FC2829"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the </w:t>
            </w: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660EF9" w:rsidRPr="00D876F2" w:rsidRDefault="00660EF9" w:rsidP="00660EF9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Description of Amendment </w:t>
            </w:r>
          </w:p>
        </w:tc>
        <w:tc>
          <w:tcPr>
            <w:tcW w:w="3700" w:type="dxa"/>
            <w:shd w:val="clear" w:color="auto" w:fill="1F4E79" w:themeFill="accent1" w:themeFillShade="80"/>
          </w:tcPr>
          <w:p w:rsidR="00660EF9" w:rsidRPr="00D876F2" w:rsidRDefault="00660EF9" w:rsidP="00660EF9">
            <w:pPr>
              <w:rPr>
                <w:rFonts w:ascii="Garamond" w:hAnsi="Garamond"/>
                <w:b/>
                <w:color w:val="FFFFFF" w:themeColor="background1"/>
                <w:sz w:val="24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  <w:sz w:val="24"/>
              </w:rPr>
              <w:t>Notes</w:t>
            </w:r>
          </w:p>
        </w:tc>
      </w:tr>
      <w:tr w:rsidR="00712A36" w:rsidRPr="000D5E93" w:rsidTr="00426C9B">
        <w:trPr>
          <w:trHeight w:val="710"/>
        </w:trPr>
        <w:tc>
          <w:tcPr>
            <w:tcW w:w="720" w:type="dxa"/>
            <w:shd w:val="clear" w:color="auto" w:fill="DEEAF6" w:themeFill="accent1" w:themeFillTint="33"/>
          </w:tcPr>
          <w:p w:rsidR="00712A36" w:rsidRDefault="00712A36" w:rsidP="003A186A">
            <w:pPr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712A36" w:rsidRDefault="00712A36" w:rsidP="003A186A">
            <w:pPr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712A36" w:rsidRPr="00BA65DE" w:rsidRDefault="00712A36" w:rsidP="003A186A">
            <w:pPr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712A36" w:rsidRDefault="00712A36" w:rsidP="00660EF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Garamond" w:hAnsi="Garamond"/>
              </w:rPr>
            </w:pPr>
            <w:r w:rsidRPr="00712A36">
              <w:rPr>
                <w:rFonts w:ascii="Garamond" w:hAnsi="Garamond"/>
              </w:rPr>
              <w:t>in subsection (5) by deleting the words “determined in accordance with regulations” and substituting therefor the words “as prescribed by the Authority”.</w:t>
            </w:r>
          </w:p>
          <w:p w:rsidR="00660EF9" w:rsidRPr="00712A36" w:rsidRDefault="00660EF9" w:rsidP="00660EF9">
            <w:pPr>
              <w:pStyle w:val="ListParagraph"/>
              <w:spacing w:before="24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712A36" w:rsidRPr="000D5E93" w:rsidRDefault="00712A36" w:rsidP="003A186A">
            <w:pPr>
              <w:rPr>
                <w:rFonts w:ascii="Garamond" w:hAnsi="Garamond"/>
              </w:rPr>
            </w:pPr>
          </w:p>
        </w:tc>
      </w:tr>
      <w:tr w:rsidR="00813B23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813B23" w:rsidRPr="000D5E93" w:rsidRDefault="00296EFF" w:rsidP="00664975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813B23" w:rsidRPr="000D5E93" w:rsidRDefault="00BA65DE" w:rsidP="00664975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58 of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813B23" w:rsidRPr="000D5E93" w:rsidRDefault="00BA65DE" w:rsidP="00664975">
            <w:pPr>
              <w:spacing w:before="240"/>
              <w:rPr>
                <w:rFonts w:ascii="Garamond" w:hAnsi="Garamond"/>
              </w:rPr>
            </w:pPr>
            <w:r w:rsidRPr="00BA65DE">
              <w:rPr>
                <w:rFonts w:ascii="Garamond" w:hAnsi="Garamond"/>
              </w:rPr>
              <w:t>Actuarial valuations.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813B23" w:rsidRDefault="00BA65DE" w:rsidP="00664975">
            <w:pPr>
              <w:spacing w:before="240"/>
              <w:rPr>
                <w:rFonts w:ascii="Garamond" w:hAnsi="Garamond"/>
              </w:rPr>
            </w:pPr>
            <w:r w:rsidRPr="00BA65DE">
              <w:rPr>
                <w:rFonts w:ascii="Garamond" w:hAnsi="Garamond"/>
              </w:rPr>
              <w:t>Section 58 of the principal Act is amended—</w:t>
            </w:r>
          </w:p>
          <w:p w:rsidR="00CA1F33" w:rsidRPr="00D119FC" w:rsidRDefault="00BA65DE" w:rsidP="00D119FC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Garamond" w:hAnsi="Garamond"/>
              </w:rPr>
            </w:pPr>
            <w:r w:rsidRPr="00BA65DE">
              <w:rPr>
                <w:rFonts w:ascii="Garamond" w:hAnsi="Garamond"/>
              </w:rPr>
              <w:t>in subsection (1), by deleting the words “long term”;</w:t>
            </w:r>
          </w:p>
        </w:tc>
        <w:tc>
          <w:tcPr>
            <w:tcW w:w="3700" w:type="dxa"/>
          </w:tcPr>
          <w:p w:rsidR="00813B23" w:rsidRPr="000D5E93" w:rsidRDefault="00813B23" w:rsidP="00664975">
            <w:pPr>
              <w:spacing w:before="240"/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Pr="00BA65DE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Pr="00C71D21" w:rsidRDefault="00D119FC" w:rsidP="00D119FC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Garamond" w:hAnsi="Garamond"/>
              </w:rPr>
            </w:pPr>
            <w:r w:rsidRPr="00C71D21">
              <w:rPr>
                <w:rFonts w:ascii="Garamond" w:hAnsi="Garamond"/>
              </w:rPr>
              <w:t>by deleting subsection (2) and substituting therefor</w:t>
            </w:r>
            <w:r>
              <w:rPr>
                <w:rFonts w:ascii="Garamond" w:hAnsi="Garamond"/>
              </w:rPr>
              <w:t xml:space="preserve"> </w:t>
            </w:r>
            <w:r w:rsidRPr="00C71D21">
              <w:rPr>
                <w:rFonts w:ascii="Garamond" w:hAnsi="Garamond"/>
              </w:rPr>
              <w:t>the following subsection—</w:t>
            </w:r>
          </w:p>
          <w:p w:rsidR="00D119FC" w:rsidRDefault="00D119FC" w:rsidP="00D119FC">
            <w:pPr>
              <w:pStyle w:val="ListParagraph"/>
              <w:numPr>
                <w:ilvl w:val="3"/>
                <w:numId w:val="14"/>
              </w:numPr>
              <w:spacing w:before="240"/>
              <w:rPr>
                <w:rFonts w:ascii="Garamond" w:hAnsi="Garamond"/>
              </w:rPr>
            </w:pPr>
            <w:r w:rsidRPr="00C71D21">
              <w:rPr>
                <w:rFonts w:ascii="Garamond" w:hAnsi="Garamond"/>
              </w:rPr>
              <w:t>The basis of valuation of technical</w:t>
            </w:r>
            <w:r>
              <w:rPr>
                <w:rFonts w:ascii="Garamond" w:hAnsi="Garamond"/>
              </w:rPr>
              <w:t xml:space="preserve"> </w:t>
            </w:r>
            <w:r w:rsidRPr="00C71D21">
              <w:rPr>
                <w:rFonts w:ascii="Garamond" w:hAnsi="Garamond"/>
              </w:rPr>
              <w:t>reserves adopted shall be as prescribed by the Authority;</w:t>
            </w:r>
          </w:p>
          <w:p w:rsidR="00D119FC" w:rsidRPr="00D119FC" w:rsidRDefault="00D119FC" w:rsidP="00D119FC">
            <w:pPr>
              <w:pStyle w:val="ListParagraph"/>
              <w:spacing w:before="240"/>
              <w:ind w:left="108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D119FC" w:rsidRPr="000D5E93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Pr="00BA65DE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Default="00D119FC" w:rsidP="00D119FC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Garamond" w:hAnsi="Garamond"/>
              </w:rPr>
            </w:pPr>
            <w:r w:rsidRPr="00C71D21">
              <w:rPr>
                <w:rFonts w:ascii="Garamond" w:hAnsi="Garamond"/>
              </w:rPr>
              <w:t>in subsection (3)—</w:t>
            </w:r>
          </w:p>
          <w:p w:rsidR="00D119FC" w:rsidRDefault="00D119FC" w:rsidP="00D119FC">
            <w:pPr>
              <w:pStyle w:val="ListParagraph"/>
              <w:numPr>
                <w:ilvl w:val="2"/>
                <w:numId w:val="14"/>
              </w:numPr>
              <w:spacing w:before="240"/>
              <w:rPr>
                <w:rFonts w:ascii="Garamond" w:hAnsi="Garamond"/>
              </w:rPr>
            </w:pPr>
            <w:r w:rsidRPr="00EB68F9">
              <w:rPr>
                <w:rFonts w:ascii="Garamond" w:hAnsi="Garamond"/>
              </w:rPr>
              <w:t>by deleting the words “of a statutory fund”;</w:t>
            </w:r>
            <w:r>
              <w:rPr>
                <w:rFonts w:ascii="Garamond" w:hAnsi="Garamond"/>
              </w:rPr>
              <w:t xml:space="preserve"> </w:t>
            </w:r>
            <w:r w:rsidRPr="00EB68F9">
              <w:rPr>
                <w:rFonts w:ascii="Garamond" w:hAnsi="Garamond"/>
              </w:rPr>
              <w:t>and</w:t>
            </w:r>
          </w:p>
          <w:p w:rsidR="00D119FC" w:rsidRDefault="00D119FC" w:rsidP="00D119FC">
            <w:pPr>
              <w:pStyle w:val="ListParagraph"/>
              <w:numPr>
                <w:ilvl w:val="2"/>
                <w:numId w:val="14"/>
              </w:numPr>
              <w:spacing w:before="240"/>
              <w:rPr>
                <w:rFonts w:ascii="Garamond" w:hAnsi="Garamond"/>
              </w:rPr>
            </w:pPr>
            <w:r w:rsidRPr="00EB68F9">
              <w:rPr>
                <w:rFonts w:ascii="Garamond" w:hAnsi="Garamond"/>
              </w:rPr>
              <w:t>by deleting the words “the minimum basis</w:t>
            </w:r>
            <w:r>
              <w:rPr>
                <w:rFonts w:ascii="Garamond" w:hAnsi="Garamond"/>
              </w:rPr>
              <w:t xml:space="preserve"> </w:t>
            </w:r>
            <w:r w:rsidRPr="00EB68F9">
              <w:rPr>
                <w:rFonts w:ascii="Garamond" w:hAnsi="Garamond"/>
              </w:rPr>
              <w:t>prescribed” and substituting therefor the words “the prescribed basis”;</w:t>
            </w:r>
          </w:p>
          <w:p w:rsidR="00D119FC" w:rsidRPr="00D119FC" w:rsidRDefault="00D119FC" w:rsidP="00D119FC">
            <w:pPr>
              <w:pStyle w:val="ListParagraph"/>
              <w:spacing w:before="240"/>
              <w:ind w:left="99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D119FC" w:rsidRPr="000D5E93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Pr="00BA65DE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Default="00D119FC" w:rsidP="00D119FC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Garamond" w:hAnsi="Garamond"/>
              </w:rPr>
            </w:pPr>
            <w:r w:rsidRPr="00EB68F9">
              <w:rPr>
                <w:rFonts w:ascii="Garamond" w:hAnsi="Garamond"/>
              </w:rPr>
              <w:t>in subsection (4)—</w:t>
            </w:r>
          </w:p>
          <w:p w:rsidR="00D119FC" w:rsidRDefault="00D119FC" w:rsidP="00D119FC">
            <w:pPr>
              <w:pStyle w:val="ListParagraph"/>
              <w:numPr>
                <w:ilvl w:val="2"/>
                <w:numId w:val="14"/>
              </w:numPr>
              <w:spacing w:before="240"/>
              <w:rPr>
                <w:rFonts w:ascii="Garamond" w:hAnsi="Garamond"/>
              </w:rPr>
            </w:pPr>
            <w:r w:rsidRPr="00D64AEC">
              <w:rPr>
                <w:rFonts w:ascii="Garamond" w:hAnsi="Garamond"/>
              </w:rPr>
              <w:t>by deleting the words “relating to a statutory</w:t>
            </w:r>
            <w:r>
              <w:rPr>
                <w:rFonts w:ascii="Garamond" w:hAnsi="Garamond"/>
              </w:rPr>
              <w:t xml:space="preserve"> </w:t>
            </w:r>
            <w:r w:rsidRPr="00D64AEC">
              <w:rPr>
                <w:rFonts w:ascii="Garamond" w:hAnsi="Garamond"/>
              </w:rPr>
              <w:t>fund”; and</w:t>
            </w:r>
          </w:p>
          <w:p w:rsidR="00D119FC" w:rsidRDefault="00D119FC" w:rsidP="00D119FC">
            <w:pPr>
              <w:pStyle w:val="ListParagraph"/>
              <w:numPr>
                <w:ilvl w:val="2"/>
                <w:numId w:val="14"/>
              </w:numPr>
              <w:spacing w:before="240"/>
              <w:rPr>
                <w:rFonts w:ascii="Garamond" w:hAnsi="Garamond"/>
              </w:rPr>
            </w:pPr>
            <w:r w:rsidRPr="00D64AEC">
              <w:rPr>
                <w:rFonts w:ascii="Garamond" w:hAnsi="Garamond"/>
              </w:rPr>
              <w:t>by deleting the words “the minimum basis</w:t>
            </w:r>
            <w:r>
              <w:rPr>
                <w:rFonts w:ascii="Garamond" w:hAnsi="Garamond"/>
              </w:rPr>
              <w:t xml:space="preserve"> </w:t>
            </w:r>
            <w:r w:rsidRPr="00D64AEC">
              <w:rPr>
                <w:rFonts w:ascii="Garamond" w:hAnsi="Garamond"/>
              </w:rPr>
              <w:t>prescribed” and substituting therefor the words “the prescribed basis”; and</w:t>
            </w:r>
          </w:p>
          <w:p w:rsidR="00D119FC" w:rsidRPr="00D119FC" w:rsidRDefault="00D119FC" w:rsidP="00D119FC">
            <w:pPr>
              <w:pStyle w:val="ListParagraph"/>
              <w:spacing w:before="240"/>
              <w:ind w:left="99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D119FC" w:rsidRPr="000D5E93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</w:tr>
      <w:tr w:rsidR="00D119FC" w:rsidRPr="000D5E93" w:rsidTr="00426C9B">
        <w:trPr>
          <w:trHeight w:val="620"/>
        </w:trPr>
        <w:tc>
          <w:tcPr>
            <w:tcW w:w="72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D119FC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90" w:type="dxa"/>
            <w:shd w:val="clear" w:color="auto" w:fill="DEEAF6" w:themeFill="accent1" w:themeFillTint="33"/>
          </w:tcPr>
          <w:p w:rsidR="00D119FC" w:rsidRPr="00BA65DE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D119FC" w:rsidRDefault="00D119FC" w:rsidP="00D119FC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Garamond" w:hAnsi="Garamond"/>
              </w:rPr>
            </w:pPr>
            <w:r w:rsidRPr="0091791B">
              <w:rPr>
                <w:rFonts w:ascii="Garamond" w:hAnsi="Garamond"/>
              </w:rPr>
              <w:t>in subsection (8) by deleting the words “long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term”.</w:t>
            </w:r>
          </w:p>
          <w:p w:rsidR="00D119FC" w:rsidRPr="00BA65DE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3700" w:type="dxa"/>
          </w:tcPr>
          <w:p w:rsidR="00D119FC" w:rsidRPr="000D5E93" w:rsidRDefault="00D119FC" w:rsidP="00664975">
            <w:pPr>
              <w:spacing w:before="240"/>
              <w:rPr>
                <w:rFonts w:ascii="Garamond" w:hAnsi="Garamond"/>
              </w:rPr>
            </w:pPr>
          </w:p>
        </w:tc>
      </w:tr>
      <w:tr w:rsidR="00FC2829" w:rsidRPr="00CA1F33" w:rsidTr="00FC2829">
        <w:trPr>
          <w:trHeight w:val="710"/>
        </w:trPr>
        <w:tc>
          <w:tcPr>
            <w:tcW w:w="720" w:type="dxa"/>
            <w:shd w:val="clear" w:color="auto" w:fill="1F4E79" w:themeFill="accent1" w:themeFillShade="80"/>
          </w:tcPr>
          <w:p w:rsidR="00CA1F33" w:rsidRPr="00D876F2" w:rsidRDefault="00CA1F33" w:rsidP="00CA1F33">
            <w:pPr>
              <w:spacing w:before="240"/>
              <w:rPr>
                <w:rFonts w:ascii="Garamond" w:hAnsi="Garamond"/>
                <w:b/>
                <w:color w:val="FFFFFF" w:themeColor="background1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</w:rPr>
              <w:lastRenderedPageBreak/>
              <w:t>No.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CA1F33" w:rsidRPr="00D876F2" w:rsidRDefault="00CA1F33" w:rsidP="00CA1F33">
            <w:pPr>
              <w:spacing w:before="240"/>
              <w:rPr>
                <w:rFonts w:ascii="Garamond" w:hAnsi="Garamond"/>
                <w:b/>
                <w:color w:val="FFFFFF" w:themeColor="background1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</w:rPr>
              <w:t>Topic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CA1F33" w:rsidRPr="00D876F2" w:rsidRDefault="00CA1F33" w:rsidP="00CA1F33">
            <w:pPr>
              <w:spacing w:before="240"/>
              <w:rPr>
                <w:rFonts w:ascii="Garamond" w:hAnsi="Garamond"/>
                <w:b/>
                <w:color w:val="FFFFFF" w:themeColor="background1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</w:rPr>
              <w:t>Reference in Act</w:t>
            </w:r>
          </w:p>
        </w:tc>
        <w:tc>
          <w:tcPr>
            <w:tcW w:w="5760" w:type="dxa"/>
            <w:shd w:val="clear" w:color="auto" w:fill="1F4E79" w:themeFill="accent1" w:themeFillShade="80"/>
          </w:tcPr>
          <w:p w:rsidR="00CA1F33" w:rsidRPr="00D876F2" w:rsidRDefault="00CA1F33" w:rsidP="00CA1F33">
            <w:pPr>
              <w:spacing w:before="240"/>
              <w:rPr>
                <w:rFonts w:ascii="Garamond" w:hAnsi="Garamond"/>
                <w:b/>
                <w:color w:val="FFFFFF" w:themeColor="background1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</w:rPr>
              <w:t xml:space="preserve">Description of Amendment </w:t>
            </w:r>
          </w:p>
        </w:tc>
        <w:tc>
          <w:tcPr>
            <w:tcW w:w="3700" w:type="dxa"/>
            <w:shd w:val="clear" w:color="auto" w:fill="1F4E79" w:themeFill="accent1" w:themeFillShade="80"/>
          </w:tcPr>
          <w:p w:rsidR="00CA1F33" w:rsidRPr="00D876F2" w:rsidRDefault="00CA1F33" w:rsidP="00CA1F33">
            <w:pPr>
              <w:spacing w:before="240"/>
              <w:rPr>
                <w:rFonts w:ascii="Garamond" w:hAnsi="Garamond"/>
                <w:b/>
                <w:color w:val="FFFFFF" w:themeColor="background1"/>
              </w:rPr>
            </w:pPr>
            <w:r w:rsidRPr="00D876F2">
              <w:rPr>
                <w:rFonts w:ascii="Garamond" w:hAnsi="Garamond"/>
                <w:b/>
                <w:color w:val="FFFFFF" w:themeColor="background1"/>
              </w:rPr>
              <w:t>Notes</w:t>
            </w:r>
          </w:p>
        </w:tc>
      </w:tr>
      <w:tr w:rsidR="00200B97" w:rsidRPr="000D5E93" w:rsidTr="00426C9B">
        <w:trPr>
          <w:trHeight w:val="710"/>
        </w:trPr>
        <w:tc>
          <w:tcPr>
            <w:tcW w:w="72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115 of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200B97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115. </w:t>
            </w:r>
            <w:r w:rsidRPr="0091791B">
              <w:t xml:space="preserve"> </w:t>
            </w:r>
            <w:r w:rsidRPr="0091791B">
              <w:rPr>
                <w:rFonts w:ascii="Garamond" w:hAnsi="Garamond"/>
              </w:rPr>
              <w:t>Conditions for approval in relation to long term insurance business.</w:t>
            </w:r>
          </w:p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576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 w:rsidRPr="0091791B">
              <w:rPr>
                <w:rFonts w:ascii="Garamond" w:hAnsi="Garamond"/>
              </w:rPr>
              <w:t>Section 115 of principal Act is amended in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subsection (7) by deleting the words “minimum basis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prescribed” appearing in the definition of the term “proper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basis” and substituting therefor the words “basis prescribed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by the Authority”.</w:t>
            </w:r>
          </w:p>
        </w:tc>
        <w:tc>
          <w:tcPr>
            <w:tcW w:w="3700" w:type="dxa"/>
          </w:tcPr>
          <w:p w:rsidR="00200B97" w:rsidRPr="000D5E93" w:rsidRDefault="00200B97" w:rsidP="00200B97">
            <w:pPr>
              <w:rPr>
                <w:rFonts w:ascii="Garamond" w:hAnsi="Garamond"/>
              </w:rPr>
            </w:pPr>
          </w:p>
        </w:tc>
      </w:tr>
      <w:tr w:rsidR="00200B97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200B97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</w:t>
            </w:r>
          </w:p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section 203 of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203. </w:t>
            </w:r>
            <w:r w:rsidRPr="0091791B">
              <w:rPr>
                <w:rFonts w:ascii="Garamond" w:hAnsi="Garamond"/>
              </w:rPr>
              <w:t>Settlement of claims.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 w:rsidRPr="0091791B">
              <w:rPr>
                <w:rFonts w:ascii="Garamond" w:hAnsi="Garamond"/>
              </w:rPr>
              <w:t>Section 203 of the principal Act is amended in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subsection (1) by d</w:t>
            </w:r>
            <w:r>
              <w:rPr>
                <w:rFonts w:ascii="Garamond" w:hAnsi="Garamond"/>
              </w:rPr>
              <w:t xml:space="preserve">eleting the words “ninety days” </w:t>
            </w:r>
            <w:r w:rsidRPr="0091791B">
              <w:rPr>
                <w:rFonts w:ascii="Garamond" w:hAnsi="Garamond"/>
              </w:rPr>
              <w:t>wherever they appear and substituting therefor the words</w:t>
            </w:r>
            <w:r>
              <w:rPr>
                <w:rFonts w:ascii="Garamond" w:hAnsi="Garamond"/>
              </w:rPr>
              <w:t xml:space="preserve"> </w:t>
            </w:r>
            <w:r w:rsidRPr="0091791B">
              <w:rPr>
                <w:rFonts w:ascii="Garamond" w:hAnsi="Garamond"/>
              </w:rPr>
              <w:t>“thirty days”.</w:t>
            </w:r>
          </w:p>
        </w:tc>
        <w:tc>
          <w:tcPr>
            <w:tcW w:w="3700" w:type="dxa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</w:p>
        </w:tc>
      </w:tr>
      <w:tr w:rsidR="00200B97" w:rsidRPr="000D5E93" w:rsidTr="00426C9B">
        <w:trPr>
          <w:trHeight w:val="1180"/>
        </w:trPr>
        <w:tc>
          <w:tcPr>
            <w:tcW w:w="72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Amendment of the second schedule to Cap. 487.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Second Schedule.</w:t>
            </w:r>
          </w:p>
        </w:tc>
        <w:tc>
          <w:tcPr>
            <w:tcW w:w="5760" w:type="dxa"/>
            <w:shd w:val="clear" w:color="auto" w:fill="DEEAF6" w:themeFill="accent1" w:themeFillTint="33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  <w:r w:rsidRPr="00664975">
              <w:rPr>
                <w:rFonts w:ascii="Garamond" w:hAnsi="Garamond"/>
              </w:rPr>
              <w:t>The Second Schedule to the principal Act is</w:t>
            </w:r>
            <w:r>
              <w:rPr>
                <w:rFonts w:ascii="Garamond" w:hAnsi="Garamond"/>
              </w:rPr>
              <w:t xml:space="preserve"> </w:t>
            </w:r>
            <w:r w:rsidRPr="00664975">
              <w:rPr>
                <w:rFonts w:ascii="Garamond" w:hAnsi="Garamond"/>
              </w:rPr>
              <w:t>amended in paragraph (2</w:t>
            </w:r>
            <w:r w:rsidR="00373E7A" w:rsidRPr="00664975">
              <w:rPr>
                <w:rFonts w:ascii="Garamond" w:hAnsi="Garamond"/>
              </w:rPr>
              <w:t>) (</w:t>
            </w:r>
            <w:r w:rsidRPr="00664975">
              <w:rPr>
                <w:rFonts w:ascii="Garamond" w:hAnsi="Garamond"/>
              </w:rPr>
              <w:t>b) by deleting the word</w:t>
            </w:r>
            <w:r>
              <w:rPr>
                <w:rFonts w:ascii="Garamond" w:hAnsi="Garamond"/>
              </w:rPr>
              <w:t xml:space="preserve"> </w:t>
            </w:r>
            <w:r w:rsidRPr="00664975">
              <w:rPr>
                <w:rFonts w:ascii="Garamond" w:hAnsi="Garamond"/>
              </w:rPr>
              <w:t>“minimum” and substituting therefor the word</w:t>
            </w:r>
            <w:r>
              <w:rPr>
                <w:rFonts w:ascii="Garamond" w:hAnsi="Garamond"/>
              </w:rPr>
              <w:t xml:space="preserve"> </w:t>
            </w:r>
            <w:r w:rsidRPr="00664975">
              <w:rPr>
                <w:rFonts w:ascii="Garamond" w:hAnsi="Garamond"/>
              </w:rPr>
              <w:t>“maximum”.</w:t>
            </w:r>
          </w:p>
        </w:tc>
        <w:tc>
          <w:tcPr>
            <w:tcW w:w="3700" w:type="dxa"/>
          </w:tcPr>
          <w:p w:rsidR="00200B97" w:rsidRPr="000D5E93" w:rsidRDefault="00200B97" w:rsidP="00200B97">
            <w:pPr>
              <w:spacing w:before="240"/>
              <w:rPr>
                <w:rFonts w:ascii="Garamond" w:hAnsi="Garamond"/>
              </w:rPr>
            </w:pPr>
          </w:p>
        </w:tc>
      </w:tr>
    </w:tbl>
    <w:p w:rsidR="00D506C1" w:rsidRDefault="00D506C1"/>
    <w:p w:rsidR="00D506C1" w:rsidRDefault="00D506C1"/>
    <w:p w:rsidR="00D506C1" w:rsidRDefault="00D506C1"/>
    <w:p w:rsidR="00D506C1" w:rsidRDefault="00D506C1"/>
    <w:p w:rsidR="00D506C1" w:rsidRDefault="00D506C1"/>
    <w:p w:rsidR="00D506C1" w:rsidRDefault="00D41217">
      <w:r>
        <w:t>l</w:t>
      </w:r>
    </w:p>
    <w:p w:rsidR="00D506C1" w:rsidRDefault="00D506C1"/>
    <w:p w:rsidR="00D506C1" w:rsidRDefault="00D506C1"/>
    <w:p w:rsidR="004F76E5" w:rsidRDefault="004F76E5"/>
    <w:sectPr w:rsidR="004F76E5" w:rsidSect="002D5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003" w:rsidRDefault="002E7003" w:rsidP="004F76E5">
      <w:pPr>
        <w:spacing w:after="0" w:line="240" w:lineRule="auto"/>
      </w:pPr>
      <w:r>
        <w:separator/>
      </w:r>
    </w:p>
  </w:endnote>
  <w:endnote w:type="continuationSeparator" w:id="0">
    <w:p w:rsidR="002E7003" w:rsidRDefault="002E7003" w:rsidP="004F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003" w:rsidRDefault="002E7003" w:rsidP="004F76E5">
      <w:pPr>
        <w:spacing w:after="0" w:line="240" w:lineRule="auto"/>
      </w:pPr>
      <w:r>
        <w:separator/>
      </w:r>
    </w:p>
  </w:footnote>
  <w:footnote w:type="continuationSeparator" w:id="0">
    <w:p w:rsidR="002E7003" w:rsidRDefault="002E7003" w:rsidP="004F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232"/>
    <w:multiLevelType w:val="hybridMultilevel"/>
    <w:tmpl w:val="A39E85DC"/>
    <w:lvl w:ilvl="0" w:tplc="914441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85749"/>
    <w:multiLevelType w:val="multilevel"/>
    <w:tmpl w:val="6FAEFE9E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990" w:hanging="360"/>
      </w:pPr>
      <w:rPr>
        <w:rFonts w:hint="default"/>
      </w:rPr>
    </w:lvl>
    <w:lvl w:ilvl="2">
      <w:start w:val="42"/>
      <w:numFmt w:val="lowerRoman"/>
      <w:lvlText w:val="(i%3)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BA56AE"/>
    <w:multiLevelType w:val="hybridMultilevel"/>
    <w:tmpl w:val="22580E42"/>
    <w:lvl w:ilvl="0" w:tplc="28408336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164E"/>
    <w:multiLevelType w:val="hybridMultilevel"/>
    <w:tmpl w:val="89540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803"/>
    <w:multiLevelType w:val="hybridMultilevel"/>
    <w:tmpl w:val="DD06BD4E"/>
    <w:lvl w:ilvl="0" w:tplc="FA4A96B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E5AAA"/>
    <w:multiLevelType w:val="hybridMultilevel"/>
    <w:tmpl w:val="B8460A2C"/>
    <w:lvl w:ilvl="0" w:tplc="AE6602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D8821B8"/>
    <w:multiLevelType w:val="hybridMultilevel"/>
    <w:tmpl w:val="BCBE612C"/>
    <w:lvl w:ilvl="0" w:tplc="29CAB922">
      <w:start w:val="3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EB317E"/>
    <w:multiLevelType w:val="hybridMultilevel"/>
    <w:tmpl w:val="8294E47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8" w15:restartNumberingAfterBreak="0">
    <w:nsid w:val="27C440D9"/>
    <w:multiLevelType w:val="hybridMultilevel"/>
    <w:tmpl w:val="ED741112"/>
    <w:lvl w:ilvl="0" w:tplc="9CBEB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8438F2">
      <w:start w:val="1"/>
      <w:numFmt w:val="lowerRoman"/>
      <w:lvlText w:val="(%3)"/>
      <w:lvlJc w:val="right"/>
      <w:pPr>
        <w:ind w:left="990" w:hanging="180"/>
      </w:pPr>
      <w:rPr>
        <w:rFonts w:hint="default"/>
      </w:rPr>
    </w:lvl>
    <w:lvl w:ilvl="3" w:tplc="D3645B24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235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D5E2824"/>
    <w:multiLevelType w:val="hybridMultilevel"/>
    <w:tmpl w:val="9D8A2DAC"/>
    <w:lvl w:ilvl="0" w:tplc="65B440D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6C45"/>
    <w:multiLevelType w:val="hybridMultilevel"/>
    <w:tmpl w:val="A78C50E0"/>
    <w:lvl w:ilvl="0" w:tplc="65B440DE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19C7"/>
    <w:multiLevelType w:val="hybridMultilevel"/>
    <w:tmpl w:val="009A4C80"/>
    <w:lvl w:ilvl="0" w:tplc="AE766CC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0C0412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AEAA62E">
      <w:start w:val="1"/>
      <w:numFmt w:val="lowerRoman"/>
      <w:lvlText w:val="(%3)"/>
      <w:lvlJc w:val="right"/>
      <w:pPr>
        <w:ind w:left="9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C4265"/>
    <w:multiLevelType w:val="hybridMultilevel"/>
    <w:tmpl w:val="AAB2DAA4"/>
    <w:lvl w:ilvl="0" w:tplc="2AEAA62E">
      <w:start w:val="1"/>
      <w:numFmt w:val="lowerRoman"/>
      <w:lvlText w:val="(%1)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24A592E"/>
    <w:multiLevelType w:val="hybridMultilevel"/>
    <w:tmpl w:val="073AAFA2"/>
    <w:lvl w:ilvl="0" w:tplc="9A24FDA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D27E14"/>
    <w:multiLevelType w:val="multilevel"/>
    <w:tmpl w:val="1F64B604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(%2)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ind w:left="12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9D8184B"/>
    <w:multiLevelType w:val="multilevel"/>
    <w:tmpl w:val="65D89552"/>
    <w:lvl w:ilvl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7368F6"/>
    <w:multiLevelType w:val="hybridMultilevel"/>
    <w:tmpl w:val="FDF2FB70"/>
    <w:lvl w:ilvl="0" w:tplc="8B8882D4">
      <w:start w:val="2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17C21"/>
    <w:multiLevelType w:val="hybridMultilevel"/>
    <w:tmpl w:val="8BEA0CD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A3AA8"/>
    <w:multiLevelType w:val="multilevel"/>
    <w:tmpl w:val="5614C45E"/>
    <w:lvl w:ilvl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586126"/>
    <w:multiLevelType w:val="hybridMultilevel"/>
    <w:tmpl w:val="2E1AF6D0"/>
    <w:lvl w:ilvl="0" w:tplc="C5667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2CE894">
      <w:start w:val="1"/>
      <w:numFmt w:val="lowerRoman"/>
      <w:lvlText w:val="(%3)"/>
      <w:lvlJc w:val="right"/>
      <w:pPr>
        <w:ind w:left="9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67BB8"/>
    <w:multiLevelType w:val="hybridMultilevel"/>
    <w:tmpl w:val="009A4C80"/>
    <w:lvl w:ilvl="0" w:tplc="AE766CC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0C0412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AEAA62E">
      <w:start w:val="1"/>
      <w:numFmt w:val="lowerRoman"/>
      <w:lvlText w:val="(%3)"/>
      <w:lvlJc w:val="right"/>
      <w:pPr>
        <w:ind w:left="9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20FEC"/>
    <w:multiLevelType w:val="multilevel"/>
    <w:tmpl w:val="A816E5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(%3)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54402E3"/>
    <w:multiLevelType w:val="hybridMultilevel"/>
    <w:tmpl w:val="F5E4AC30"/>
    <w:lvl w:ilvl="0" w:tplc="CC4877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EAA62E">
      <w:start w:val="1"/>
      <w:numFmt w:val="lowerRoman"/>
      <w:lvlText w:val="(%3)"/>
      <w:lvlJc w:val="right"/>
      <w:pPr>
        <w:ind w:left="9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83E0E"/>
    <w:multiLevelType w:val="hybridMultilevel"/>
    <w:tmpl w:val="F252C5FE"/>
    <w:lvl w:ilvl="0" w:tplc="157C8D72">
      <w:start w:val="2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17"/>
  </w:num>
  <w:num w:numId="9">
    <w:abstractNumId w:val="7"/>
  </w:num>
  <w:num w:numId="10">
    <w:abstractNumId w:val="24"/>
  </w:num>
  <w:num w:numId="11">
    <w:abstractNumId w:val="18"/>
  </w:num>
  <w:num w:numId="12">
    <w:abstractNumId w:val="6"/>
  </w:num>
  <w:num w:numId="13">
    <w:abstractNumId w:val="5"/>
  </w:num>
  <w:num w:numId="14">
    <w:abstractNumId w:val="8"/>
  </w:num>
  <w:num w:numId="15">
    <w:abstractNumId w:val="3"/>
  </w:num>
  <w:num w:numId="16">
    <w:abstractNumId w:val="10"/>
  </w:num>
  <w:num w:numId="17">
    <w:abstractNumId w:val="1"/>
  </w:num>
  <w:num w:numId="18">
    <w:abstractNumId w:val="15"/>
  </w:num>
  <w:num w:numId="19">
    <w:abstractNumId w:val="13"/>
  </w:num>
  <w:num w:numId="20">
    <w:abstractNumId w:val="12"/>
  </w:num>
  <w:num w:numId="21">
    <w:abstractNumId w:val="21"/>
  </w:num>
  <w:num w:numId="22">
    <w:abstractNumId w:val="2"/>
  </w:num>
  <w:num w:numId="23">
    <w:abstractNumId w:val="4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C1"/>
    <w:rsid w:val="000C122A"/>
    <w:rsid w:val="000D5E93"/>
    <w:rsid w:val="00186145"/>
    <w:rsid w:val="001D1934"/>
    <w:rsid w:val="00200B97"/>
    <w:rsid w:val="00296EFF"/>
    <w:rsid w:val="002D5A26"/>
    <w:rsid w:val="002E7003"/>
    <w:rsid w:val="00373E7A"/>
    <w:rsid w:val="003A186A"/>
    <w:rsid w:val="003E2B57"/>
    <w:rsid w:val="003E4841"/>
    <w:rsid w:val="00426C9B"/>
    <w:rsid w:val="00462FAB"/>
    <w:rsid w:val="00490B5B"/>
    <w:rsid w:val="004F76E5"/>
    <w:rsid w:val="005167F6"/>
    <w:rsid w:val="00521F71"/>
    <w:rsid w:val="005820D5"/>
    <w:rsid w:val="005A22BF"/>
    <w:rsid w:val="006421B7"/>
    <w:rsid w:val="0065512F"/>
    <w:rsid w:val="00660EF9"/>
    <w:rsid w:val="00664975"/>
    <w:rsid w:val="006A2E48"/>
    <w:rsid w:val="00712A36"/>
    <w:rsid w:val="00813B23"/>
    <w:rsid w:val="0091791B"/>
    <w:rsid w:val="009D102C"/>
    <w:rsid w:val="009F5CF5"/>
    <w:rsid w:val="00A20A94"/>
    <w:rsid w:val="00A505DB"/>
    <w:rsid w:val="00B85004"/>
    <w:rsid w:val="00B867BA"/>
    <w:rsid w:val="00BA65DE"/>
    <w:rsid w:val="00BB0FF3"/>
    <w:rsid w:val="00BD032B"/>
    <w:rsid w:val="00BD1872"/>
    <w:rsid w:val="00C03266"/>
    <w:rsid w:val="00C71D21"/>
    <w:rsid w:val="00C96CDD"/>
    <w:rsid w:val="00CA1F33"/>
    <w:rsid w:val="00D119FC"/>
    <w:rsid w:val="00D41217"/>
    <w:rsid w:val="00D506C1"/>
    <w:rsid w:val="00D64AEC"/>
    <w:rsid w:val="00D720FC"/>
    <w:rsid w:val="00D876F2"/>
    <w:rsid w:val="00E75A29"/>
    <w:rsid w:val="00EB5991"/>
    <w:rsid w:val="00EB68F9"/>
    <w:rsid w:val="00EC0AAF"/>
    <w:rsid w:val="00F13AC4"/>
    <w:rsid w:val="00F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34E5B-FF2C-4F54-A024-2BF39DE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6E5"/>
  </w:style>
  <w:style w:type="paragraph" w:styleId="Footer">
    <w:name w:val="footer"/>
    <w:basedOn w:val="Normal"/>
    <w:link w:val="FooterChar"/>
    <w:uiPriority w:val="99"/>
    <w:unhideWhenUsed/>
    <w:rsid w:val="004F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DA40-2CA2-401D-954D-86E2FF19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Kiprotich</dc:creator>
  <cp:keywords/>
  <dc:description/>
  <cp:lastModifiedBy>Sullivan Kiprotich</cp:lastModifiedBy>
  <cp:revision>15</cp:revision>
  <dcterms:created xsi:type="dcterms:W3CDTF">2016-07-19T06:26:00Z</dcterms:created>
  <dcterms:modified xsi:type="dcterms:W3CDTF">2016-08-23T09:17:00Z</dcterms:modified>
</cp:coreProperties>
</file>