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自定义指标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自定义指标是以系统现有的五大类指标（</w:t>
      </w:r>
      <w:r>
        <w:rPr>
          <w:rFonts w:hint="eastAsia"/>
          <w:color w:val="0000FF"/>
          <w:lang w:val="en-US" w:eastAsia="zh-CN"/>
        </w:rPr>
        <w:t>行情指标、技术指标、财务指标、价值指标、股本指标</w:t>
      </w:r>
      <w:r>
        <w:rPr>
          <w:rFonts w:hint="eastAsia"/>
          <w:lang w:val="en-US" w:eastAsia="zh-CN"/>
        </w:rPr>
        <w:t>）为基础，基于功能强大的MVEL表达式，您可以巧妙的实现多指标组合选股，使得买入卖出条件更加灵活。目前系统为您提供了四种函数调用方式：hq.f10('ID')、hq.ref('ID',N)、hq.fin('ID',N)、hq.gb('ID')。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四种函数调用方式简单示例如下：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4524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函数调用方式</w:t>
            </w:r>
          </w:p>
        </w:tc>
        <w:tc>
          <w:tcPr>
            <w:tcW w:w="4524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简单示例</w:t>
            </w:r>
          </w:p>
        </w:tc>
        <w:tc>
          <w:tcPr>
            <w:tcW w:w="2495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hq.f10('ID</w:t>
            </w:r>
            <w:bookmarkStart w:id="0" w:name="_GoBack"/>
            <w:bookmarkEnd w:id="0"/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</w:p>
        </w:tc>
        <w:tc>
          <w:tcPr>
            <w:tcW w:w="452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用于获取所有指标（行情指标、技术指标、财务指标、价值指标、股本指标）的当日数据</w:t>
            </w:r>
          </w:p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例：hq.f10(</w:t>
            </w:r>
            <w:r>
              <w:rPr>
                <w:rFonts w:hint="default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open</w:t>
            </w:r>
            <w:r>
              <w:rPr>
                <w:rFonts w:hint="default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) &lt; 100 表示当日开盘价小于100</w:t>
            </w:r>
          </w:p>
        </w:tc>
        <w:tc>
          <w:tcPr>
            <w:tcW w:w="2495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firstLine="42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ID指各个指标在系统中对应的标识。</w:t>
            </w:r>
          </w:p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hq.ref('ID',N)</w:t>
            </w:r>
          </w:p>
        </w:tc>
        <w:tc>
          <w:tcPr>
            <w:tcW w:w="452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用于获取行情指标、技术指标、价值指标的当日以及历史行情数据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例：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 表示当日开盘价小于100</w:t>
            </w:r>
          </w:p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 表示从当日向前取第1个交易日的开盘价小于100</w:t>
            </w:r>
          </w:p>
        </w:tc>
        <w:tc>
          <w:tcPr>
            <w:tcW w:w="249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ind w:firstLine="420" w:firstLineChars="0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ID指各个指标在系统中对应的标识、N指从当日向前取第N个交易日的K线行情。N取0时表示当天。</w:t>
            </w:r>
          </w:p>
          <w:p>
            <w:pPr>
              <w:ind w:firstLine="42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hq.ref('ID',0)与hq.f10('ID')效果一致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hq.fin('ID',N)</w:t>
            </w:r>
          </w:p>
        </w:tc>
        <w:tc>
          <w:tcPr>
            <w:tcW w:w="452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用于获取当前季度及历史财务数据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例：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oper_inc_yoy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 0.2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当前季度的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营业收入同比增长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oper_inc_yoy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 0.2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从当前季度向上取第1个季度的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营业收入同比增长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小于0.2</w:t>
            </w:r>
          </w:p>
        </w:tc>
        <w:tc>
          <w:tcPr>
            <w:tcW w:w="2495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firstLine="420" w:firstLineChars="0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ID指各个指标在系统中对应的标识、N指从当日向前取第N个交易日的K线行情。N取0时表示当天。</w:t>
            </w:r>
          </w:p>
          <w:p>
            <w:pPr>
              <w:ind w:firstLine="42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hq.fin('ID',0)与hq.f10('ID')效果一致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hq.gb('ID')</w:t>
            </w:r>
          </w:p>
        </w:tc>
        <w:tc>
          <w:tcPr>
            <w:tcW w:w="4524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用于获取股本数据。无当日与历史数据之分</w:t>
            </w:r>
          </w:p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例：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gb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capital_num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 200000000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该企业的总股本小于200000000</w:t>
            </w:r>
          </w:p>
        </w:tc>
        <w:tc>
          <w:tcPr>
            <w:tcW w:w="2495" w:type="dxa"/>
            <w:tcBorders>
              <w:top w:val="dotted" w:color="auto" w:sz="4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ind w:firstLine="420" w:firstLineChars="0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ID指各个指标在系统中对应的标识。</w:t>
            </w:r>
          </w:p>
          <w:p>
            <w:pPr>
              <w:ind w:firstLine="420" w:firstLineChars="0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hq.gb('ID')与hq.f10('ID')效果一致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各个指标大类所包含的详细指标如下，您可以找到您需要的指标，在</w:t>
      </w:r>
      <w:r>
        <w:rPr>
          <w:rFonts w:hint="eastAsia"/>
          <w:color w:val="0000FF"/>
          <w:lang w:val="en-US" w:eastAsia="zh-CN"/>
        </w:rPr>
        <w:t>指标ID及示例</w:t>
      </w:r>
      <w:r>
        <w:rPr>
          <w:rFonts w:hint="eastAsia"/>
          <w:lang w:val="en-US" w:eastAsia="zh-CN"/>
        </w:rPr>
        <w:t>中找到对应的ID，调用相应的函数即可。</w:t>
      </w:r>
    </w:p>
    <w:tbl>
      <w:tblPr>
        <w:tblStyle w:val="9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1328"/>
        <w:gridCol w:w="4683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tcBorders>
              <w:top w:val="single" w:color="000000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指标大类</w:t>
            </w:r>
          </w:p>
        </w:tc>
        <w:tc>
          <w:tcPr>
            <w:tcW w:w="1328" w:type="dxa"/>
            <w:tcBorders>
              <w:top w:val="single" w:color="000000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指标子类</w:t>
            </w:r>
          </w:p>
        </w:tc>
        <w:tc>
          <w:tcPr>
            <w:tcW w:w="4683" w:type="dxa"/>
            <w:tcBorders>
              <w:top w:val="single" w:color="000000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500" w:type="dxa"/>
            <w:tcBorders>
              <w:top w:val="single" w:color="000000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函数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restart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行情指标</w:t>
            </w:r>
          </w:p>
        </w:tc>
        <w:tc>
          <w:tcPr>
            <w:tcW w:w="1328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股票价格</w:t>
            </w:r>
          </w:p>
        </w:tc>
        <w:tc>
          <w:tcPr>
            <w:tcW w:w="4683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开盘价、收盘价、最高价、最低价、昨日收盘价、5日均价、10日均价、20日均价、30日均价、60日均价、120日均价、250日均价</w:t>
            </w:r>
          </w:p>
        </w:tc>
        <w:tc>
          <w:tcPr>
            <w:tcW w:w="1500" w:type="dxa"/>
            <w:vMerge w:val="restart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hq.ref</w:t>
            </w: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('ID',N)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或</w:t>
            </w:r>
          </w:p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hq.f10('ID')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成交额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当日成交额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成交量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当日成交量、5日平均成交量、10日平均成交量、20日平均成交量、30日平均成交量、60日平均成交量、120日平均成交量、250日平均成交量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股价涨幅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股价涨幅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振幅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振幅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交易天数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交易天数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restart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技术指标</w:t>
            </w: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MACD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MACD_DIF、MACD_DEA、MACD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KDJ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KDJ_K、KDJ_D、KDJ_J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布林线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布林上线、布林下线、布林中线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CCI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WR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WR10、WR6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BIAS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BIAS6、BIAS12、BIAS24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RSI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RSI12、RSI6、RSI24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restart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价值指标</w:t>
            </w: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规模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总市值、流通市值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价值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市净率、市现率、市销率、市盈率TTM、静态市盈率、PEG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restart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财务指标</w:t>
            </w: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成长因子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营业收入同比增长、净利润同比增长、基本每股收益同比增长、稀释每股收益同比增长、营业总收入同比增长、营业利润同比增长、利润总额同比增长、权益乘数、总资产相对年初增长</w:t>
            </w:r>
          </w:p>
        </w:tc>
        <w:tc>
          <w:tcPr>
            <w:tcW w:w="1500" w:type="dxa"/>
            <w:vMerge w:val="restart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hq.fin('ID',N)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或</w:t>
            </w:r>
          </w:p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hq.f10('ID')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每股指标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摊薄每股收益-期末股本、每股净资产、每股营业收入、每股营业总收入、每股资本公积、每股盈余公积、每股未分配利润、每股现金流量净额、每股经营活动产生的现金流量净额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盈利能力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净资产收益率_平均、年化净资产收益率、总资产报酬率、扣除非经常损益后的净利润/净利润、营业利润/营业总收入、净利润/营业总收入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支出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销售费用/营业总收入、管理费用/营业总收入、财务费用/营业总收入、资产减值损失/营业总收入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清偿能力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流动比率、速动比率、产权比率、资产负债率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营运效率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营业周期、存货周转天数、应收账款周转天数、存货周转率、应收账款周转率、流动资产周转率、固定资产周转率、总资产周转率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总值</w:t>
            </w: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营业总收入、营业总成本、营业收入、利润总额、净利润</w:t>
            </w:r>
          </w:p>
        </w:tc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  <w:t>股本指标</w:t>
            </w:r>
          </w:p>
        </w:tc>
        <w:tc>
          <w:tcPr>
            <w:tcW w:w="1328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FF"/>
                <w:sz w:val="15"/>
                <w:szCs w:val="15"/>
                <w:lang w:val="en-US" w:eastAsia="zh-CN"/>
              </w:rPr>
            </w:pPr>
          </w:p>
        </w:tc>
        <w:tc>
          <w:tcPr>
            <w:tcW w:w="4683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总股本、流通股本</w:t>
            </w:r>
          </w:p>
        </w:tc>
        <w:tc>
          <w:tcPr>
            <w:tcW w:w="1500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hq.gb</w:t>
            </w: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('ID')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或</w:t>
            </w:r>
          </w:p>
          <w:p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hq.f10('ID')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四种函数调用方式中均可使用以下比较符和算数四则运算，可比较数值或者同类表达式。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1"/>
        <w:gridCol w:w="6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可支持运算</w:t>
            </w:r>
          </w:p>
        </w:tc>
        <w:tc>
          <w:tcPr>
            <w:tcW w:w="6281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比较值（可比较范围）</w:t>
            </w:r>
          </w:p>
        </w:tc>
        <w:tc>
          <w:tcPr>
            <w:tcW w:w="628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数值或者同类表达式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比较符（可获取以下其中之一）</w:t>
            </w:r>
          </w:p>
        </w:tc>
        <w:tc>
          <w:tcPr>
            <w:tcW w:w="628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"&lt;": 定义小于操作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"&gt;": 定义大于操作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"=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"：定义相等操作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"&lt;="：定义小于相等操作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"&gt;="：定义大于相等操作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"&amp;&amp;"：定义逻辑与操作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"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||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"：定义逻辑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或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1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算数四则运算</w:t>
            </w:r>
          </w:p>
        </w:tc>
        <w:tc>
          <w:tcPr>
            <w:tcW w:w="6281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+、-、*、/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指标ID及示例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行情指标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股票价格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股票价格中主要收录了和价格相关的一些常用指标，包含：开盘价、收盘价、最高价、最低价、昨日收盘价、5日均价、10日均价、20日均价、30日均价、60日均价、120日均价、250日均价。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18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1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38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开盘价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open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100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表示当日的开盘价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收盘价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1个交易日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收盘价大于100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最高价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high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'high'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2个交易日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最高价小于等于100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最低价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low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'low'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3)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3个交易日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最低价大于等于100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昨日收盘价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last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'last'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4)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==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4个交易日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昨日收盘价等于100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5日均价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ma5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ma5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5)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5个交易日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的收盘价5日均线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小于等于100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10日均价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ma10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ma10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6)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6个交易日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的收盘价10日均线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大于等于100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20日均价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ma20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7)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7个交易日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的收盘价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日均线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大于等于100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30日均价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ma30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8)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8个交易日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的收盘价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0日均线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大于等于100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60日均价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ma60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9)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9个交易日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的收盘价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60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日均线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大于等于100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120日均价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ma120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ma1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10个交易日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的收盘价1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0日均线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大于等于100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250日均价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ma250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250'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11个交易日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的收盘价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250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日均线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大于等于100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上述股票价格指标您可以任意组合，实现常用的形态如红三兵、三只乌鸦、穿头破脚、十字星、MA金叉、MA死叉、MA多头、MA空头。如下表所示：其中方法一中全部调用的是hq.ref('ID',N)方式，方法二同时调用了hq.ref('ID',N)或hq.f10('ID')多种方式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6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形态指标</w:t>
            </w:r>
          </w:p>
        </w:tc>
        <w:tc>
          <w:tcPr>
            <w:tcW w:w="698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多参数调用示例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红三兵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 &gt;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&gt;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,2)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 &gt;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&gt;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,2) &gt;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,2) 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 &gt;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&gt;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,2) &amp;&amp; 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 &gt; 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&gt;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,2) &gt;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,2) 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表示最近3日收盘价连涨 并且 最近3日收盘价一直大于开盘价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三只乌鸦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,0)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,1)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,2)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,0)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,1)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,2)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,2) 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)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,1)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,2) &amp;&amp; 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)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,1)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,2)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,2) 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表示最近3日收盘价连跌 并且 最近3日开盘价一直大于收盘价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穿头破脚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/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1.03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/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0.96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) || (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/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0.97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/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1.04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/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1.03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/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0.96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) || (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/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0.97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/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1.04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表示(1日前的收盘价/1日前的开盘价&gt;1.03 并且 收盘价/开盘价&lt;0.96 并且 收盘价&lt;1日前的开盘价 并且 开盘价&gt;1日前的收盘价) 或者 (1日前的收盘价/1日前的开盘价&lt;0.97 并且 收盘价/开盘价&gt;1.04 并且 收盘价&gt;1日前的开盘价 并且 开盘价&lt;1日前的收盘价)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十字星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==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'high'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'low'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==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'high'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'low'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表示当日平盘 并且 最高价&gt;最低价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MA金叉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表示5日线上穿10日线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MA死叉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表示5日线下穿10日线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MA多头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'ma20'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'ma20'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'ma60'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'ma20'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'ma20'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'ma60'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表示ma5&gt;ma10&gt;ma20&gt;ma60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MA空头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'ma20'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'ma20'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'ma60'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'ma20'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'ma20'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'ma60'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表示ma5&lt;ma10&lt;ma20&lt;ma60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成交额中主要收录了与股票当日成交金额相关的指标，包含：当日成交额。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24"/>
        <w:gridCol w:w="5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2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37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成交额</w:t>
            </w:r>
          </w:p>
        </w:tc>
        <w:tc>
          <w:tcPr>
            <w:tcW w:w="16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amt</w:t>
            </w:r>
          </w:p>
        </w:tc>
        <w:tc>
          <w:tcPr>
            <w:tcW w:w="5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'amt'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100000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'amt')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100000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表示当日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成交额大于100000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成交量中主要收录了与股票成交数量相关的指标，包含：当日成交量、5日平均成交量、10日平均成交量、20日平均成交量、30日平均成交量、60日平均成交量、120日平均成交量、250日平均成交量。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07"/>
        <w:gridCol w:w="5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07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395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当日成交量</w:t>
            </w:r>
          </w:p>
        </w:tc>
        <w:tc>
          <w:tcPr>
            <w:tcW w:w="16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vol</w:t>
            </w:r>
          </w:p>
        </w:tc>
        <w:tc>
          <w:tcPr>
            <w:tcW w:w="53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'vol'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10000000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'vol')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10000000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当日成交量小于等于10000000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5日平均成交量</w:t>
            </w:r>
          </w:p>
        </w:tc>
        <w:tc>
          <w:tcPr>
            <w:tcW w:w="16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maVol5</w:t>
            </w:r>
          </w:p>
        </w:tc>
        <w:tc>
          <w:tcPr>
            <w:tcW w:w="53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maVol5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10000000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1个交易日的5日平均成交量大于等于10000000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10日平均成交量</w:t>
            </w:r>
          </w:p>
        </w:tc>
        <w:tc>
          <w:tcPr>
            <w:tcW w:w="16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maVol10</w:t>
            </w:r>
          </w:p>
        </w:tc>
        <w:tc>
          <w:tcPr>
            <w:tcW w:w="53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maVol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10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10000000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2个交易日的10日平均成交量大于10000000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20日平均成交量</w:t>
            </w:r>
          </w:p>
        </w:tc>
        <w:tc>
          <w:tcPr>
            <w:tcW w:w="16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maVol20</w:t>
            </w:r>
          </w:p>
        </w:tc>
        <w:tc>
          <w:tcPr>
            <w:tcW w:w="53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maVol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20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3)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 10000000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3个交易日的20日平均成交量小于10000000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30日平均成交量</w:t>
            </w:r>
          </w:p>
        </w:tc>
        <w:tc>
          <w:tcPr>
            <w:tcW w:w="16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maVol30</w:t>
            </w:r>
          </w:p>
        </w:tc>
        <w:tc>
          <w:tcPr>
            <w:tcW w:w="53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maVol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30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4)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10000000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4个交易日的30日平均成交量大于等于10000000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60日平均成交量</w:t>
            </w:r>
          </w:p>
        </w:tc>
        <w:tc>
          <w:tcPr>
            <w:tcW w:w="16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maVol60</w:t>
            </w:r>
          </w:p>
        </w:tc>
        <w:tc>
          <w:tcPr>
            <w:tcW w:w="53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maVol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60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5)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10000000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5个交易日的60日平均成交量小于等于10000000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120日平均成交量</w:t>
            </w:r>
          </w:p>
        </w:tc>
        <w:tc>
          <w:tcPr>
            <w:tcW w:w="16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maVol120</w:t>
            </w:r>
          </w:p>
        </w:tc>
        <w:tc>
          <w:tcPr>
            <w:tcW w:w="53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maVol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120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6)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10000000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6个交易日的120日平均成交量大于等于10000000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250日平均成交量</w:t>
            </w:r>
          </w:p>
        </w:tc>
        <w:tc>
          <w:tcPr>
            <w:tcW w:w="1607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maVol250</w:t>
            </w:r>
          </w:p>
        </w:tc>
        <w:tc>
          <w:tcPr>
            <w:tcW w:w="5395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maVol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250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7)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10000000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7个交易日的250日平均成交量小于等于10000000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股价涨幅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股价涨幅中主要收录了与股价涨跌幅相关的指标，包含：股价涨幅。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18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1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38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股价涨幅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rise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'rise'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0.2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'rise')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0.2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表示当日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股价涨幅大于等于0.2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振幅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振幅主要描述了股票当日最高价最低价之差除以前日收盘价，包含：振幅。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02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0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4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振幅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amplitude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'amplitude'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0.8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'amplitude')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0.8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表示当日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振幅小于等于0.8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交易天数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交易天数描述了股票从上市日到当日的交易天数，包含：交易天数。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18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1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38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交易天数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did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'did'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10000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'did')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从上市日到当日的交易天数小于10000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技术指标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MACD中主要描述了移动平均聚散指标，包含：MACD_DIF、MACD_DEA、MACD。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02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0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4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MACD_DIF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10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表示当日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收盘价短期（12天）、长期（26天）指数平滑移动平均线间的差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MACD_DEA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1个交易日的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macd_dif线的9日指数平滑移动平均线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2个交易日的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2*(MACD_DIF-MACD_DEA)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小于10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用上述MACD指标您可以任意组合，实现常用的形态如MACD金叉、MACD死叉、MACD多头、MACD空头。如下表所示：其中方法一中全部调用的是hq.ref('ID',N)方式，方法二同时调用了hq.ref('ID',N)或hq.f10('ID')多种方式。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6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形态指标</w:t>
            </w:r>
          </w:p>
        </w:tc>
        <w:tc>
          <w:tcPr>
            <w:tcW w:w="698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多参数调用示例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MACD金叉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表示dif上穿dea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MACD死叉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表示dif下穿dea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MACD多头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表示dif&gt;dea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MACD空头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表示dif&lt;dea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KDJ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KDJ中主要描述了随机指标，包含：KDJ_K、KDJ_D、KDJ_J。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02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0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4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KDJ_K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10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表示当日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RSV的3日移动平均值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KDJ_D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1个交易日的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KDJ_K的3日移动平均值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KDJ_J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j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j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2个交易日的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3*KDJ_K-2*KDJ_D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小于10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用上述KDJ指标您可以任意组合，实现常用的形态如KDJ金叉、KDJ买入信号。如下表所示：其中方法一中全部调用的是hq.ref('ID',N)方式，方法二同时调用了hq.ref('ID',N)或hq.f10('ID')多种方式。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6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形态指标</w:t>
            </w:r>
          </w:p>
        </w:tc>
        <w:tc>
          <w:tcPr>
            <w:tcW w:w="698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多参数调用示例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KDJ金叉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表示K线上穿d线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KDJ买入信号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&lt;20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'd'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&lt;20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&lt;20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'd'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&lt;20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表示k,d&lt;20 且 k线上穿d线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布林线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布林线中主要收录了与股价的标准差相关的指标，包含：布林上线、布林下线、布林中线。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02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0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4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布林上线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bollUp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bollUp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10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bollUp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表示当日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布林中线+2*收盘价的20日估算标准差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布林下线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bollDn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bollDn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1个交易日的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布林中线-2*收盘价的20日估算标准差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布林中线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bollMid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bollMid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2个交易日的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收盘价的20日简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移动平均值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小于10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上述布林线指标您可以任意组合，实现常用的形态如布林线突破上轨、布林线突破中轨、布林线突破下轨。如下表所示：其中方法一中全部调用的是hq.ref('ID',N)方式，方法二同时调用了hq.ref('ID',N)或hq.f10('ID')多种方式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6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形态指标</w:t>
            </w:r>
          </w:p>
        </w:tc>
        <w:tc>
          <w:tcPr>
            <w:tcW w:w="698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多参数调用示例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布林线突破上轨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bollUp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bollUp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bollUp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bollUp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表示日K上穿上轨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布林线突破中轨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bollMid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bollMid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bollMid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bollMid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表示日K上穿中轨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布林线突破下轨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bollDn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bollDn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bollDn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bollDn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表示日K上穿下轨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CCI主要测量股价是否已超出常态分布范围，+100以上为超买区，-100以下为超卖区，+100到-100为震荡区，包含：CCI。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02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0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4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100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表示当日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的cci大于100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用上述CCI指标您可以任意组合，实现常用的形态如CCI买入信号、CCI超卖。如下表所示：其中方法一中全部调用的是hq.ref('ID',N)方式，方法二同时调用了hq.ref('ID',N)或hq.f10('ID')多种方式。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6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形态指标</w:t>
            </w:r>
          </w:p>
        </w:tc>
        <w:tc>
          <w:tcPr>
            <w:tcW w:w="698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多参数调用示例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CCI买入信号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100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100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100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100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表示cci上穿100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CCI超卖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-100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-100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表示cci&lt;-100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WR中主要收录了买卖强弱指标，包含：WR10、WR6。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02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0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4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WR10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wr10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wr10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10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wr10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表示当日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10天买卖强弱指标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WR6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wr6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wr6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1个交易日的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6天买卖强弱指标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小于10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BIAS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BIAS中主要收录了股价在波动过程中与移动平均线偏离程度的技术指标，包含：BIAS6、BIAS12、BIAS24。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02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0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4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BIAS6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bias6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bias6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10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10('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bias6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表示当天收盘价与6日均线之间的差距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BIAS12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bias12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bias12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1个交易日的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当天收盘价与12日均线之间的差距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BIAS24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bias24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bias24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2个交易日的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当天收盘价与24日均线之间的差距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小于10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用上述BIAS指标您可以任意组合，实现常用的形态如BIAS金叉、BIAS买入信号、BIAS超卖。如下表所示：其中方法一中全部调用的是hq.ref('ID',N)方式，方法二同时调用了hq.ref('ID',N)或hq.f10('ID')多种方式。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6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形态指标</w:t>
            </w:r>
          </w:p>
        </w:tc>
        <w:tc>
          <w:tcPr>
            <w:tcW w:w="698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多参数调用示例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BIAS金叉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'bias24'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'bias24'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'bias24'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'bias24'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表示bias6上穿bias24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BIAS买入信号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0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表示bias6上穿bias12 且 bias12&gt;0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BIAS超卖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-10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-10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表示bias6&lt;-10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I中主要收录了相对强弱指数指标，值域在0到100之间，值越大，股票表现越强势。RSI大多数时间在30到70之间震荡。RSI&gt;80,代表超买，股票回调可能性加大；RSI&lt;20,代表超卖，股票反弹的可能性增大。包含：RSI12、RSI6、RSI24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02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0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4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RSI12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rsi12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rsi12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80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rsi12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80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表示当日股票在过去12天的相对强弱情况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RSI6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rsi6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rsi6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1个交易日的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股票在过去6天的相对强弱情况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RSI24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rsi24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rsi24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2个交易日的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股票在过去24天的相对强弱情况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小于10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用上述RSI指标您可以任意组合，实现常用的形态如RSI金叉、RSI买入信号、RSI超卖。如下表所示：其中方法一中全部调用的是hq.ref('ID',N)方式，方法二同时调用了hq.ref('ID',N)或hq.f10('ID')多种方式。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6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698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多参数调用示例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RSI金叉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表示rsi6上穿rsi12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RSI买入信号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20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&gt;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20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表示rsi12&lt;20 且 rsi6上穿ris12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RSI超卖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20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&lt; 20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表示rsi6&lt;20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价值指标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规模中主要收录了股票的规模相关指标，包含：总市值、流通市值。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02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0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4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总市值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mktCap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mktCap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1000000000 或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mktCap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1000000000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表示当日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的总市值大于1000000000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流通市值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cirMktCap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cirMktCap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1000000000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1个交易日的流通市值小于1000000000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价值中主要收录了股票的价值相关指标，包含：市净率、市现率、市销率、市盈率TTM、静态市盈率、PEG。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18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1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38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市净率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pb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pb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2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pb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表示当日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市净率大于2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市现率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p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cf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p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cf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1个交易日的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市现率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小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于2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市销率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ps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ps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2个交易日的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市销率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大于等于2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市盈率TTM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peTtm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peTtm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3)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3个交易日的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市盈率TTM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小于等于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静态市盈率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peLyr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peLyr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4)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==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4个交易日的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静态市盈率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等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于2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PEG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peg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peg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5)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表示从当日向前取第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5个交易日的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highlight w:val="none"/>
                <w:lang w:val="en-US" w:eastAsia="zh-CN"/>
              </w:rPr>
              <w:t>PEG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财务指标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成长因子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长因子中主要收录了与股票同比增长相关指标，包含：营业收入同比增长、净利润同比增长、基本每股收益同比增长、稀释每股收益同比增长、营业总收入同比增长、营业利润同比增长、利润总额同比增长、权益乘数、总资产相对年初增长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24"/>
        <w:gridCol w:w="5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2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37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营业收入同比增长</w:t>
            </w:r>
          </w:p>
        </w:tc>
        <w:tc>
          <w:tcPr>
            <w:tcW w:w="16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oper_inc_yoy</w:t>
            </w:r>
          </w:p>
        </w:tc>
        <w:tc>
          <w:tcPr>
            <w:tcW w:w="5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oper_inc_yoy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 0.2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oper_inc_yoy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 0.2 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当前季度的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营业收入同比增长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净利润同比增长</w:t>
            </w:r>
          </w:p>
        </w:tc>
        <w:tc>
          <w:tcPr>
            <w:tcW w:w="16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net_prof_pco_yoy</w:t>
            </w:r>
          </w:p>
        </w:tc>
        <w:tc>
          <w:tcPr>
            <w:tcW w:w="5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net_prof_pco_yoy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从当前季度向前取第1季度的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净利润同比增长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基本每股收益同比增长</w:t>
            </w:r>
          </w:p>
        </w:tc>
        <w:tc>
          <w:tcPr>
            <w:tcW w:w="16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eps_bas_yoy</w:t>
            </w:r>
          </w:p>
        </w:tc>
        <w:tc>
          <w:tcPr>
            <w:tcW w:w="5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eps_bas_yoy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从当前季度向前取第2季度的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基本每股收益同比增长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小于等于0.2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稀释每股收益同比增长</w:t>
            </w:r>
          </w:p>
        </w:tc>
        <w:tc>
          <w:tcPr>
            <w:tcW w:w="16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eps_dil_yoy</w:t>
            </w:r>
          </w:p>
        </w:tc>
        <w:tc>
          <w:tcPr>
            <w:tcW w:w="5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eps_dil_yoy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3)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从当前季度向前取第3季度的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稀释每股收益同比增长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大于等于0.8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营业总收入同比增长</w:t>
            </w:r>
          </w:p>
        </w:tc>
        <w:tc>
          <w:tcPr>
            <w:tcW w:w="16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ttl_oper_inc_yoy</w:t>
            </w:r>
          </w:p>
        </w:tc>
        <w:tc>
          <w:tcPr>
            <w:tcW w:w="5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ttl_oper_inc_yoy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4)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==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从当前季度向前取第4季度的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营业总收入同比增长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等于0.2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营业利润同比增长</w:t>
            </w:r>
          </w:p>
        </w:tc>
        <w:tc>
          <w:tcPr>
            <w:tcW w:w="16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oper_prof_yoy</w:t>
            </w:r>
          </w:p>
        </w:tc>
        <w:tc>
          <w:tcPr>
            <w:tcW w:w="5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oper_prof_yoy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5)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从当前季度向前取第5季度的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营业利润同比增长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利润总额同比增长</w:t>
            </w:r>
          </w:p>
        </w:tc>
        <w:tc>
          <w:tcPr>
            <w:tcW w:w="16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ttl_prof_yoy</w:t>
            </w:r>
          </w:p>
        </w:tc>
        <w:tc>
          <w:tcPr>
            <w:tcW w:w="5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ttl_prof_yoy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6)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从当前季度向前取第6季度的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利润总额同比增长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权益乘数</w:t>
            </w:r>
          </w:p>
        </w:tc>
        <w:tc>
          <w:tcPr>
            <w:tcW w:w="16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eqy_mult</w:t>
            </w:r>
          </w:p>
        </w:tc>
        <w:tc>
          <w:tcPr>
            <w:tcW w:w="5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eqy_mult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7)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从当前季度向前取第7季度的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权益乘数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小于等于0.2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总资产相对年初增长</w:t>
            </w:r>
          </w:p>
        </w:tc>
        <w:tc>
          <w:tcPr>
            <w:tcW w:w="162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ttl_ast_gr</w:t>
            </w:r>
          </w:p>
        </w:tc>
        <w:tc>
          <w:tcPr>
            <w:tcW w:w="537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ttl_ast_gr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8)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从当前季度向前取第8季度的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总资产相对年初增长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大于等于0.8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每股指标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股指标中主要收录了股票每股指标数据，包含：摊薄每股收益-期末股本、每股净资产、每股营业收入、每股营业总收入、每股资本公积、每股盈余公积、每股未分配利润、每股现金流量净额、每股经营活动产生的现金流量净额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18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1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38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摊薄每股收益-期末股本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eps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eps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 0.2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eps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 0.2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当前季度的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摊薄每股收益-期末股本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每股净资产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bvps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bvps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从当前季度向前取第1季度的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每股净资产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每股营业收入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oper_inc_ps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oper_inc_ps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从当前季度向前取第2季度的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每股营业收入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小于等于0.2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每股营业总收入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ttl_oper_inc_ps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ttl_oper_inc_ps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3)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从当前季度向前取第3季度的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每股营业总收入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大于等于0.8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每股资本公积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cptl_rsv_ps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cptl_rsv_ps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4)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==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从当前季度向前取第4季度的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每股资本公积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等于0.2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每股盈余公积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sur_rsv_ps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sur_rsv_ps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5)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从当前季度向前取第5季度的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每股盈余公积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每股未分配利润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ret_prof_ps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ret_prof_ps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6)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从当前季度向前取第6季度的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每股未分配利润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每股现金流量净额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net_cf_ps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net_cf_ps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7)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从当前季度向前取第7季度的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每股现金流量净额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小于等于0.2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每股经营活动产生的现金流量净额</w:t>
            </w:r>
          </w:p>
        </w:tc>
        <w:tc>
          <w:tcPr>
            <w:tcW w:w="1618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net_cf_oper_ps</w:t>
            </w:r>
          </w:p>
        </w:tc>
        <w:tc>
          <w:tcPr>
            <w:tcW w:w="5384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net_cf_oper_ps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8)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从当前季度向前取第8季度的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每股经营活动产生的现金流量净额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大于等于0.8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盈利能力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盈利能力中主要收录了股票盈利能力相关指标，包含：净资产收益率_平均、年化净资产收益率、总资产报酬率、扣除非经常损益后的净利润/净利润、营业利润/营业总收入、净利润/营业总收入。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41"/>
        <w:gridCol w:w="5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41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361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净资产收益率_平均</w:t>
            </w:r>
          </w:p>
        </w:tc>
        <w:tc>
          <w:tcPr>
            <w:tcW w:w="16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roe_avg</w:t>
            </w:r>
          </w:p>
        </w:tc>
        <w:tc>
          <w:tcPr>
            <w:tcW w:w="53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roe_avg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 0.2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roe_avg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 0.2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当前季度的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净资产收益率_平均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年化净资产收益率</w:t>
            </w:r>
          </w:p>
        </w:tc>
        <w:tc>
          <w:tcPr>
            <w:tcW w:w="16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roe_ann</w:t>
            </w:r>
          </w:p>
        </w:tc>
        <w:tc>
          <w:tcPr>
            <w:tcW w:w="53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roe_ann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从当前季度向前取第1季度的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年化净资产收益率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总资产报酬率</w:t>
            </w:r>
          </w:p>
        </w:tc>
        <w:tc>
          <w:tcPr>
            <w:tcW w:w="16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roa_ebit</w:t>
            </w:r>
          </w:p>
        </w:tc>
        <w:tc>
          <w:tcPr>
            <w:tcW w:w="53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roa_ebit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从当前季度向前取第2季度的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总资产报酬率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小于等于0.2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扣除非经常损益后的净利润/净利润</w:t>
            </w:r>
          </w:p>
        </w:tc>
        <w:tc>
          <w:tcPr>
            <w:tcW w:w="16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net_prof_excl_np</w:t>
            </w:r>
          </w:p>
        </w:tc>
        <w:tc>
          <w:tcPr>
            <w:tcW w:w="53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net_prof_excl_np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3)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从当前季度向前取第3季度的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扣除非经常损益后的净利润/净利润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大于等于0.8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营业利润/营业总收入</w:t>
            </w:r>
          </w:p>
        </w:tc>
        <w:tc>
          <w:tcPr>
            <w:tcW w:w="16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oper_prof_toi</w:t>
            </w:r>
          </w:p>
        </w:tc>
        <w:tc>
          <w:tcPr>
            <w:tcW w:w="53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oper_prof_toi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4)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==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从当前季度向前取第4季度的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营业利润/营业总收入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等于0.2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净利润/营业总收入</w:t>
            </w:r>
          </w:p>
        </w:tc>
        <w:tc>
          <w:tcPr>
            <w:tcW w:w="16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net_prof_toi</w:t>
            </w:r>
          </w:p>
        </w:tc>
        <w:tc>
          <w:tcPr>
            <w:tcW w:w="53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net_prof_toi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5)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从当前季度向前取第5季度的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净利润/营业总收入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小于0.2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支出中主要收录了销售费用、管理费用等占营业总收入的比例，包含：销售费用/营业总收入、管理费用/营业总收入、财务费用/营业总收入、资产减值损失/营业总收入。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02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0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4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销售费用/营业总收入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sale_exp_toi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sale_exp_toi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 0.2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sale_exp_toi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 0.2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当前季度的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销售费用/营业总收入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管理费用/营业总收入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adm_exp_toi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adm_exp_toi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从当前季度向前取第1季度的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管理费用/营业总收入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财务费用/营业总收入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fin_exp_toi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fin_exp_toi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从当前季度向前取第2季度的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财务费用/营业总收入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小于等于0.2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资产减值损失/营业总收入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ast_loss_toi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ast_loss_toi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3)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从当前季度向前取第3季度的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资产减值损失/营业总收入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大于等于0.8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清偿能力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清偿能力中主要收录了与清偿能力相关的指标，包含：流动比率、速动比率、产权比率、资产负债率。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02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0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4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流动比率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cur_rat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cur_rat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 0.2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cur_rat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 0.2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当前季度的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流动比率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速动比率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qk_rat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qk_rat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从当前季度向前取第1季度的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速动比率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产权比率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liab_eqy_rat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liab_eqy_rat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从当前季度向前取第2季度的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产权比率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小于等于0.2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资产负债率</w:t>
            </w:r>
          </w:p>
        </w:tc>
        <w:tc>
          <w:tcPr>
            <w:tcW w:w="16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ast_liab_rat</w:t>
            </w:r>
          </w:p>
        </w:tc>
        <w:tc>
          <w:tcPr>
            <w:tcW w:w="54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ast_liab_rat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3)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从当前季度向前取第3季度的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资产负债率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大于等于0.8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营运效率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营运效率中主要收录了反映企业运行其资产有效程度指标，包含：营业周期、存货周转天数、应收账款周转天数、存货周转率、应收账款周转率、流动资产周转率、固定资产周转率、总资产周转率。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57"/>
        <w:gridCol w:w="5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57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345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营业周期</w:t>
            </w:r>
          </w:p>
        </w:tc>
        <w:tc>
          <w:tcPr>
            <w:tcW w:w="1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oper_cy_ds</w:t>
            </w:r>
          </w:p>
        </w:tc>
        <w:tc>
          <w:tcPr>
            <w:tcW w:w="53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oper_cy_ds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 0.2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oper_cy_ds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 0.2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当前季度的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营业周期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存货周转天数</w:t>
            </w:r>
          </w:p>
        </w:tc>
        <w:tc>
          <w:tcPr>
            <w:tcW w:w="1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invt_ds</w:t>
            </w:r>
          </w:p>
        </w:tc>
        <w:tc>
          <w:tcPr>
            <w:tcW w:w="53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invt_ds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从当前季度向前取第1季度的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存货周转天数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应收账款周转天数</w:t>
            </w:r>
          </w:p>
        </w:tc>
        <w:tc>
          <w:tcPr>
            <w:tcW w:w="1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acct_rcv_ds</w:t>
            </w:r>
          </w:p>
        </w:tc>
        <w:tc>
          <w:tcPr>
            <w:tcW w:w="53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acct_rcv_ds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从当前季度向前取第2季度的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应收账款周转天数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小于等于0.2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存货周转率</w:t>
            </w:r>
          </w:p>
        </w:tc>
        <w:tc>
          <w:tcPr>
            <w:tcW w:w="1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invt_tnv</w:t>
            </w:r>
          </w:p>
        </w:tc>
        <w:tc>
          <w:tcPr>
            <w:tcW w:w="53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invt_tnv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3)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从当前季度向前取第3季度的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存货周转率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大于等于0.8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应收账款周转率</w:t>
            </w:r>
          </w:p>
        </w:tc>
        <w:tc>
          <w:tcPr>
            <w:tcW w:w="1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acct_rcv_tnv</w:t>
            </w:r>
          </w:p>
        </w:tc>
        <w:tc>
          <w:tcPr>
            <w:tcW w:w="53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acct_rcv_tnv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4)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==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从当前季度向前取第4季度的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应收账款周转率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等于0.2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流动资产周转率</w:t>
            </w:r>
          </w:p>
        </w:tc>
        <w:tc>
          <w:tcPr>
            <w:tcW w:w="1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cur_ast_tnv</w:t>
            </w:r>
          </w:p>
        </w:tc>
        <w:tc>
          <w:tcPr>
            <w:tcW w:w="53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cur_ast_tnv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5)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从当前季度向前取第5季度的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流动资产周转率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固定资产周转率</w:t>
            </w:r>
          </w:p>
        </w:tc>
        <w:tc>
          <w:tcPr>
            <w:tcW w:w="1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fix_ast_tnv</w:t>
            </w:r>
          </w:p>
        </w:tc>
        <w:tc>
          <w:tcPr>
            <w:tcW w:w="53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fix_ast_tnv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6)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 0.8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从当前季度向前取第6季度的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固定资产周转率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总资产周转率</w:t>
            </w:r>
          </w:p>
        </w:tc>
        <w:tc>
          <w:tcPr>
            <w:tcW w:w="1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ttl_ast_tnv</w:t>
            </w:r>
          </w:p>
        </w:tc>
        <w:tc>
          <w:tcPr>
            <w:tcW w:w="53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ttl_ast_tnv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7)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 0.2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从当前季度向前取第7季度的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总资产周转率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小于等于0.2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总值中主要收录了反映企业营业总收入等指标，包含：营业总收入、营业总成本、营业收入、利润总额、净利润。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57"/>
        <w:gridCol w:w="5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57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345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营业总收入</w:t>
            </w:r>
          </w:p>
        </w:tc>
        <w:tc>
          <w:tcPr>
            <w:tcW w:w="1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ttl_oper_inc</w:t>
            </w:r>
          </w:p>
        </w:tc>
        <w:tc>
          <w:tcPr>
            <w:tcW w:w="53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ttl_oper_inc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 2000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ttl_oper_inc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 2000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当前季度的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营业总收入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于2000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营业总成本</w:t>
            </w:r>
          </w:p>
        </w:tc>
        <w:tc>
          <w:tcPr>
            <w:tcW w:w="1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ttl_oper_cost</w:t>
            </w:r>
          </w:p>
        </w:tc>
        <w:tc>
          <w:tcPr>
            <w:tcW w:w="53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ttl_oper_cost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 8000000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从当前季度向前取第1季度的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营业总成本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大于8000000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营业收入</w:t>
            </w:r>
          </w:p>
        </w:tc>
        <w:tc>
          <w:tcPr>
            <w:tcW w:w="1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oper_inc</w:t>
            </w:r>
          </w:p>
        </w:tc>
        <w:tc>
          <w:tcPr>
            <w:tcW w:w="53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oper_inc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2)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&lt;= 2000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从当前季度向前取第2季度的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营业收入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小于等于2000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利润总额</w:t>
            </w:r>
          </w:p>
        </w:tc>
        <w:tc>
          <w:tcPr>
            <w:tcW w:w="1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ttl_prof</w:t>
            </w:r>
          </w:p>
        </w:tc>
        <w:tc>
          <w:tcPr>
            <w:tcW w:w="53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ttl_prof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3)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&gt;= 8000000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从当前季度向前取第3季度的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利润总额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大于等于8000000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净利润</w:t>
            </w:r>
          </w:p>
        </w:tc>
        <w:tc>
          <w:tcPr>
            <w:tcW w:w="16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net_prof</w:t>
            </w:r>
          </w:p>
        </w:tc>
        <w:tc>
          <w:tcPr>
            <w:tcW w:w="53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net_prof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4)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== 1000000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从当前季度向前取第4季度的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净利润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等于1000000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股本指标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总股本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总股本描述了新股发行前的股份和新发行的股份的数量的总和。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68"/>
        <w:gridCol w:w="5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33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总股本</w:t>
            </w:r>
          </w:p>
        </w:tc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capital_num</w:t>
            </w:r>
          </w:p>
        </w:tc>
        <w:tc>
          <w:tcPr>
            <w:tcW w:w="5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gb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capital_num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 200000000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capital_num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 200000000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该企业的总股本小于200000000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流通股本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流通股本描述了上市公司股份中，可以在交易所流通的股份数量。</w:t>
      </w:r>
    </w:p>
    <w:tbl>
      <w:tblPr>
        <w:tblStyle w:val="9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668"/>
        <w:gridCol w:w="5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16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533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15"/>
                <w:vertAlign w:val="baseline"/>
                <w:lang w:val="en-US" w:eastAsia="zh-CN"/>
              </w:rPr>
              <w:t>单参数调用示例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流通股本</w:t>
            </w:r>
          </w:p>
        </w:tc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circulation_num</w:t>
            </w:r>
          </w:p>
        </w:tc>
        <w:tc>
          <w:tcPr>
            <w:tcW w:w="5334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gb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circulation_num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&gt; 80000000000 或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f10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circulation_num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 80000000000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该企业的流通股本大于80000000000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THeiti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askerville SemiBold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askerville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00DB"/>
    <w:rsid w:val="006B4DA0"/>
    <w:rsid w:val="007A4EA4"/>
    <w:rsid w:val="00876B11"/>
    <w:rsid w:val="00AA063B"/>
    <w:rsid w:val="00AA0AA1"/>
    <w:rsid w:val="00AE4E5A"/>
    <w:rsid w:val="00E429C5"/>
    <w:rsid w:val="00EF3394"/>
    <w:rsid w:val="010202C5"/>
    <w:rsid w:val="011010A9"/>
    <w:rsid w:val="0123325A"/>
    <w:rsid w:val="01274814"/>
    <w:rsid w:val="01276711"/>
    <w:rsid w:val="012D310F"/>
    <w:rsid w:val="0144449D"/>
    <w:rsid w:val="0152078B"/>
    <w:rsid w:val="016965A9"/>
    <w:rsid w:val="016E6BCF"/>
    <w:rsid w:val="017A0757"/>
    <w:rsid w:val="01814472"/>
    <w:rsid w:val="01833946"/>
    <w:rsid w:val="019A225A"/>
    <w:rsid w:val="019A277B"/>
    <w:rsid w:val="019B09C8"/>
    <w:rsid w:val="01A07833"/>
    <w:rsid w:val="01AF2AB1"/>
    <w:rsid w:val="01B51364"/>
    <w:rsid w:val="01C43D1D"/>
    <w:rsid w:val="01C652A0"/>
    <w:rsid w:val="01CB7019"/>
    <w:rsid w:val="01CB7590"/>
    <w:rsid w:val="01E60FB1"/>
    <w:rsid w:val="01F01F4A"/>
    <w:rsid w:val="01FD7BEA"/>
    <w:rsid w:val="020535F8"/>
    <w:rsid w:val="021B0357"/>
    <w:rsid w:val="021F3ADB"/>
    <w:rsid w:val="022810FA"/>
    <w:rsid w:val="023963CB"/>
    <w:rsid w:val="02410DC3"/>
    <w:rsid w:val="02590949"/>
    <w:rsid w:val="0276471A"/>
    <w:rsid w:val="02790D4B"/>
    <w:rsid w:val="02793B28"/>
    <w:rsid w:val="028D279D"/>
    <w:rsid w:val="02A26B2F"/>
    <w:rsid w:val="02A93B8B"/>
    <w:rsid w:val="02B0751B"/>
    <w:rsid w:val="02CE7D66"/>
    <w:rsid w:val="02D83463"/>
    <w:rsid w:val="02D95FF3"/>
    <w:rsid w:val="02F95EFE"/>
    <w:rsid w:val="03060C85"/>
    <w:rsid w:val="030745F8"/>
    <w:rsid w:val="03106D6F"/>
    <w:rsid w:val="032B1559"/>
    <w:rsid w:val="03712663"/>
    <w:rsid w:val="03731A29"/>
    <w:rsid w:val="0375479D"/>
    <w:rsid w:val="03771888"/>
    <w:rsid w:val="03975AE0"/>
    <w:rsid w:val="03C03152"/>
    <w:rsid w:val="03D37E77"/>
    <w:rsid w:val="03E21F17"/>
    <w:rsid w:val="04146870"/>
    <w:rsid w:val="04215CB4"/>
    <w:rsid w:val="043F12B3"/>
    <w:rsid w:val="045C6B1D"/>
    <w:rsid w:val="047E4C61"/>
    <w:rsid w:val="049666E5"/>
    <w:rsid w:val="04A5198F"/>
    <w:rsid w:val="04BF7DC4"/>
    <w:rsid w:val="04E10732"/>
    <w:rsid w:val="04EA7CB5"/>
    <w:rsid w:val="04F15B98"/>
    <w:rsid w:val="05014037"/>
    <w:rsid w:val="050844FC"/>
    <w:rsid w:val="055E43F1"/>
    <w:rsid w:val="05697ED5"/>
    <w:rsid w:val="058075E7"/>
    <w:rsid w:val="059E5373"/>
    <w:rsid w:val="05FE4FE6"/>
    <w:rsid w:val="060B4C03"/>
    <w:rsid w:val="06374533"/>
    <w:rsid w:val="066217B0"/>
    <w:rsid w:val="06683780"/>
    <w:rsid w:val="06705C00"/>
    <w:rsid w:val="06801289"/>
    <w:rsid w:val="06894AD1"/>
    <w:rsid w:val="06F27FF2"/>
    <w:rsid w:val="06F34B06"/>
    <w:rsid w:val="06F901B6"/>
    <w:rsid w:val="07103B0A"/>
    <w:rsid w:val="0722043C"/>
    <w:rsid w:val="07304178"/>
    <w:rsid w:val="07667313"/>
    <w:rsid w:val="077433FD"/>
    <w:rsid w:val="079863D9"/>
    <w:rsid w:val="07996C09"/>
    <w:rsid w:val="07B56798"/>
    <w:rsid w:val="07B644CE"/>
    <w:rsid w:val="07D73097"/>
    <w:rsid w:val="07DC5244"/>
    <w:rsid w:val="07E26334"/>
    <w:rsid w:val="07E53CE0"/>
    <w:rsid w:val="07E633D6"/>
    <w:rsid w:val="080A61E1"/>
    <w:rsid w:val="08202248"/>
    <w:rsid w:val="082A28A4"/>
    <w:rsid w:val="082E4F29"/>
    <w:rsid w:val="08370816"/>
    <w:rsid w:val="083A7DC4"/>
    <w:rsid w:val="088D2BFA"/>
    <w:rsid w:val="08901B99"/>
    <w:rsid w:val="08A23553"/>
    <w:rsid w:val="08A42ED6"/>
    <w:rsid w:val="08B377BC"/>
    <w:rsid w:val="08D900DE"/>
    <w:rsid w:val="08DC236D"/>
    <w:rsid w:val="092250A0"/>
    <w:rsid w:val="09475C85"/>
    <w:rsid w:val="095E4E51"/>
    <w:rsid w:val="09634B9E"/>
    <w:rsid w:val="097A485E"/>
    <w:rsid w:val="098469D1"/>
    <w:rsid w:val="098E7A4D"/>
    <w:rsid w:val="098F7043"/>
    <w:rsid w:val="09A4769E"/>
    <w:rsid w:val="09B91895"/>
    <w:rsid w:val="09D626B4"/>
    <w:rsid w:val="09DF7F11"/>
    <w:rsid w:val="09EF5320"/>
    <w:rsid w:val="0A001C7E"/>
    <w:rsid w:val="0A1827A7"/>
    <w:rsid w:val="0A1B4270"/>
    <w:rsid w:val="0A327150"/>
    <w:rsid w:val="0A8D3A8A"/>
    <w:rsid w:val="0A9E75E2"/>
    <w:rsid w:val="0A9F7807"/>
    <w:rsid w:val="0AAE1B2C"/>
    <w:rsid w:val="0AC06D63"/>
    <w:rsid w:val="0AE23763"/>
    <w:rsid w:val="0AE2540D"/>
    <w:rsid w:val="0AF35B75"/>
    <w:rsid w:val="0AF93206"/>
    <w:rsid w:val="0B002B4A"/>
    <w:rsid w:val="0B2424AE"/>
    <w:rsid w:val="0B2574EA"/>
    <w:rsid w:val="0B376DCA"/>
    <w:rsid w:val="0B406C35"/>
    <w:rsid w:val="0B517E59"/>
    <w:rsid w:val="0B6A721E"/>
    <w:rsid w:val="0B6F2F34"/>
    <w:rsid w:val="0B8021F6"/>
    <w:rsid w:val="0B8E6D48"/>
    <w:rsid w:val="0BA63BE7"/>
    <w:rsid w:val="0BB95943"/>
    <w:rsid w:val="0BC70C7E"/>
    <w:rsid w:val="0BE41533"/>
    <w:rsid w:val="0BF6309C"/>
    <w:rsid w:val="0C0616A9"/>
    <w:rsid w:val="0C0E2F1A"/>
    <w:rsid w:val="0C146737"/>
    <w:rsid w:val="0C1F2293"/>
    <w:rsid w:val="0C2323FE"/>
    <w:rsid w:val="0C284827"/>
    <w:rsid w:val="0C3A6DB9"/>
    <w:rsid w:val="0C4008FC"/>
    <w:rsid w:val="0C776836"/>
    <w:rsid w:val="0C8F0CB8"/>
    <w:rsid w:val="0C90783D"/>
    <w:rsid w:val="0CB03EC1"/>
    <w:rsid w:val="0CBE1E29"/>
    <w:rsid w:val="0CCB2A07"/>
    <w:rsid w:val="0D3F3043"/>
    <w:rsid w:val="0D541DE6"/>
    <w:rsid w:val="0D542901"/>
    <w:rsid w:val="0D5C2C11"/>
    <w:rsid w:val="0D6B31C8"/>
    <w:rsid w:val="0D6C7BD6"/>
    <w:rsid w:val="0D887B8F"/>
    <w:rsid w:val="0D90174E"/>
    <w:rsid w:val="0DB0753A"/>
    <w:rsid w:val="0DC151A0"/>
    <w:rsid w:val="0DF8485B"/>
    <w:rsid w:val="0E216B65"/>
    <w:rsid w:val="0E321E61"/>
    <w:rsid w:val="0E657AFA"/>
    <w:rsid w:val="0E7902AF"/>
    <w:rsid w:val="0E7D66F6"/>
    <w:rsid w:val="0E7E0B84"/>
    <w:rsid w:val="0E910C86"/>
    <w:rsid w:val="0E977759"/>
    <w:rsid w:val="0E9D2DB0"/>
    <w:rsid w:val="0EA41047"/>
    <w:rsid w:val="0ED85D4B"/>
    <w:rsid w:val="0EEC768F"/>
    <w:rsid w:val="0F1B6F0A"/>
    <w:rsid w:val="0F1D559F"/>
    <w:rsid w:val="0F4620C9"/>
    <w:rsid w:val="0F520A6F"/>
    <w:rsid w:val="0F6012A4"/>
    <w:rsid w:val="0F640A11"/>
    <w:rsid w:val="0F642CB3"/>
    <w:rsid w:val="0F671F9D"/>
    <w:rsid w:val="0F6D621D"/>
    <w:rsid w:val="0F7D5EE7"/>
    <w:rsid w:val="0F8C60BD"/>
    <w:rsid w:val="0F9B2076"/>
    <w:rsid w:val="0FB860E0"/>
    <w:rsid w:val="0FBD3327"/>
    <w:rsid w:val="0FE2300D"/>
    <w:rsid w:val="0FF80513"/>
    <w:rsid w:val="10271B09"/>
    <w:rsid w:val="102F082E"/>
    <w:rsid w:val="1074043F"/>
    <w:rsid w:val="107519E1"/>
    <w:rsid w:val="10770F5F"/>
    <w:rsid w:val="108B5394"/>
    <w:rsid w:val="10A846B6"/>
    <w:rsid w:val="10AD503E"/>
    <w:rsid w:val="10AF134A"/>
    <w:rsid w:val="10C0015B"/>
    <w:rsid w:val="10C9796E"/>
    <w:rsid w:val="10CB30AF"/>
    <w:rsid w:val="10CC2767"/>
    <w:rsid w:val="10CE17ED"/>
    <w:rsid w:val="10F402F1"/>
    <w:rsid w:val="110A396B"/>
    <w:rsid w:val="112A3666"/>
    <w:rsid w:val="1135197A"/>
    <w:rsid w:val="113A2CCC"/>
    <w:rsid w:val="114432DF"/>
    <w:rsid w:val="11655C15"/>
    <w:rsid w:val="117806A7"/>
    <w:rsid w:val="117B029F"/>
    <w:rsid w:val="117F20CC"/>
    <w:rsid w:val="1180123D"/>
    <w:rsid w:val="11C342F9"/>
    <w:rsid w:val="11CB6BC1"/>
    <w:rsid w:val="120B73E2"/>
    <w:rsid w:val="121048AC"/>
    <w:rsid w:val="124618F4"/>
    <w:rsid w:val="1253151E"/>
    <w:rsid w:val="12595671"/>
    <w:rsid w:val="127E1DFC"/>
    <w:rsid w:val="129F6208"/>
    <w:rsid w:val="12A15A08"/>
    <w:rsid w:val="12A7611A"/>
    <w:rsid w:val="12DE5567"/>
    <w:rsid w:val="130F7656"/>
    <w:rsid w:val="131077B0"/>
    <w:rsid w:val="131302A0"/>
    <w:rsid w:val="13146CCE"/>
    <w:rsid w:val="1318632C"/>
    <w:rsid w:val="13706DDD"/>
    <w:rsid w:val="139F681A"/>
    <w:rsid w:val="13A829F7"/>
    <w:rsid w:val="13B77EF1"/>
    <w:rsid w:val="13BA1FF9"/>
    <w:rsid w:val="13EA3C74"/>
    <w:rsid w:val="13EE21F2"/>
    <w:rsid w:val="14654FB3"/>
    <w:rsid w:val="146F0551"/>
    <w:rsid w:val="147E5254"/>
    <w:rsid w:val="14A14D1E"/>
    <w:rsid w:val="14B65614"/>
    <w:rsid w:val="14C50FBD"/>
    <w:rsid w:val="14F01B47"/>
    <w:rsid w:val="14F93AF6"/>
    <w:rsid w:val="14FF6F67"/>
    <w:rsid w:val="15040CC4"/>
    <w:rsid w:val="15100833"/>
    <w:rsid w:val="15145061"/>
    <w:rsid w:val="15254973"/>
    <w:rsid w:val="15622909"/>
    <w:rsid w:val="1562619C"/>
    <w:rsid w:val="156A0302"/>
    <w:rsid w:val="156B1818"/>
    <w:rsid w:val="156C5E90"/>
    <w:rsid w:val="157606EA"/>
    <w:rsid w:val="15762D31"/>
    <w:rsid w:val="15895596"/>
    <w:rsid w:val="15906B78"/>
    <w:rsid w:val="159C5649"/>
    <w:rsid w:val="159D453A"/>
    <w:rsid w:val="159F3A18"/>
    <w:rsid w:val="15D85CC8"/>
    <w:rsid w:val="15D861F5"/>
    <w:rsid w:val="15E04D18"/>
    <w:rsid w:val="15E946BB"/>
    <w:rsid w:val="15EC74BF"/>
    <w:rsid w:val="15F00504"/>
    <w:rsid w:val="16146548"/>
    <w:rsid w:val="16337B2B"/>
    <w:rsid w:val="1644265C"/>
    <w:rsid w:val="16475A74"/>
    <w:rsid w:val="16490530"/>
    <w:rsid w:val="164A5F5C"/>
    <w:rsid w:val="1662568A"/>
    <w:rsid w:val="16682965"/>
    <w:rsid w:val="167C78A4"/>
    <w:rsid w:val="168702D9"/>
    <w:rsid w:val="168733FF"/>
    <w:rsid w:val="16971026"/>
    <w:rsid w:val="16994D14"/>
    <w:rsid w:val="16AB221C"/>
    <w:rsid w:val="16C0140E"/>
    <w:rsid w:val="16C362A7"/>
    <w:rsid w:val="16F9693B"/>
    <w:rsid w:val="17320CD5"/>
    <w:rsid w:val="173930FC"/>
    <w:rsid w:val="17455DA5"/>
    <w:rsid w:val="17495C9A"/>
    <w:rsid w:val="17502ED9"/>
    <w:rsid w:val="17516898"/>
    <w:rsid w:val="175505B6"/>
    <w:rsid w:val="17740B39"/>
    <w:rsid w:val="17866AB8"/>
    <w:rsid w:val="17881CA7"/>
    <w:rsid w:val="178C4329"/>
    <w:rsid w:val="179239C0"/>
    <w:rsid w:val="17A233CD"/>
    <w:rsid w:val="17AD5A5F"/>
    <w:rsid w:val="17BC5AD7"/>
    <w:rsid w:val="17C10DFC"/>
    <w:rsid w:val="17C2058F"/>
    <w:rsid w:val="17DD2BAD"/>
    <w:rsid w:val="17F0558A"/>
    <w:rsid w:val="17F05B88"/>
    <w:rsid w:val="17F70232"/>
    <w:rsid w:val="18001982"/>
    <w:rsid w:val="1827591C"/>
    <w:rsid w:val="183D461F"/>
    <w:rsid w:val="18454983"/>
    <w:rsid w:val="184702D5"/>
    <w:rsid w:val="1852098E"/>
    <w:rsid w:val="185567D4"/>
    <w:rsid w:val="185B54A9"/>
    <w:rsid w:val="187B252E"/>
    <w:rsid w:val="187B40ED"/>
    <w:rsid w:val="189A3DE8"/>
    <w:rsid w:val="18DD4D5E"/>
    <w:rsid w:val="18F94092"/>
    <w:rsid w:val="19034635"/>
    <w:rsid w:val="19237DDC"/>
    <w:rsid w:val="193D2170"/>
    <w:rsid w:val="193D3BA7"/>
    <w:rsid w:val="19442133"/>
    <w:rsid w:val="195564B9"/>
    <w:rsid w:val="19876EC5"/>
    <w:rsid w:val="199F0F6D"/>
    <w:rsid w:val="19A335BA"/>
    <w:rsid w:val="19AB6E25"/>
    <w:rsid w:val="19AE3389"/>
    <w:rsid w:val="19B743D3"/>
    <w:rsid w:val="19C50FB8"/>
    <w:rsid w:val="19CA4C3E"/>
    <w:rsid w:val="19EA2C0B"/>
    <w:rsid w:val="19FF24AD"/>
    <w:rsid w:val="1A105A4A"/>
    <w:rsid w:val="1A1A575A"/>
    <w:rsid w:val="1A215276"/>
    <w:rsid w:val="1A43096B"/>
    <w:rsid w:val="1A6B560E"/>
    <w:rsid w:val="1A7F46E1"/>
    <w:rsid w:val="1A8F54A8"/>
    <w:rsid w:val="1A9833CE"/>
    <w:rsid w:val="1A9A0C8F"/>
    <w:rsid w:val="1AA714F4"/>
    <w:rsid w:val="1AB015ED"/>
    <w:rsid w:val="1AD32C47"/>
    <w:rsid w:val="1ADD4689"/>
    <w:rsid w:val="1AE20B05"/>
    <w:rsid w:val="1B1E43B5"/>
    <w:rsid w:val="1B220C6C"/>
    <w:rsid w:val="1B273E97"/>
    <w:rsid w:val="1B355DD9"/>
    <w:rsid w:val="1B451174"/>
    <w:rsid w:val="1B554EDA"/>
    <w:rsid w:val="1B583ED5"/>
    <w:rsid w:val="1B6B0D88"/>
    <w:rsid w:val="1B6F521A"/>
    <w:rsid w:val="1B903817"/>
    <w:rsid w:val="1BC54867"/>
    <w:rsid w:val="1BDA097C"/>
    <w:rsid w:val="1C144655"/>
    <w:rsid w:val="1C2B5233"/>
    <w:rsid w:val="1C682F81"/>
    <w:rsid w:val="1C6875EB"/>
    <w:rsid w:val="1C7C2E53"/>
    <w:rsid w:val="1C7D760E"/>
    <w:rsid w:val="1C826603"/>
    <w:rsid w:val="1CA31ABE"/>
    <w:rsid w:val="1CA95C11"/>
    <w:rsid w:val="1CC44CAA"/>
    <w:rsid w:val="1CD30206"/>
    <w:rsid w:val="1D044374"/>
    <w:rsid w:val="1D1C1AC2"/>
    <w:rsid w:val="1D2E09D3"/>
    <w:rsid w:val="1D9E3E25"/>
    <w:rsid w:val="1DCD4B7E"/>
    <w:rsid w:val="1DFD110A"/>
    <w:rsid w:val="1E002FE6"/>
    <w:rsid w:val="1E0E28BC"/>
    <w:rsid w:val="1E1F2D85"/>
    <w:rsid w:val="1E2860DE"/>
    <w:rsid w:val="1E3D515C"/>
    <w:rsid w:val="1E481271"/>
    <w:rsid w:val="1E500F5D"/>
    <w:rsid w:val="1E626FE9"/>
    <w:rsid w:val="1E697982"/>
    <w:rsid w:val="1E7719F7"/>
    <w:rsid w:val="1E90687B"/>
    <w:rsid w:val="1E93645E"/>
    <w:rsid w:val="1EA46769"/>
    <w:rsid w:val="1EA8308D"/>
    <w:rsid w:val="1EBE673B"/>
    <w:rsid w:val="1EC71612"/>
    <w:rsid w:val="1ED51516"/>
    <w:rsid w:val="1ED57CC0"/>
    <w:rsid w:val="1EDC2941"/>
    <w:rsid w:val="1EEB4709"/>
    <w:rsid w:val="1F1167DC"/>
    <w:rsid w:val="1F4B555C"/>
    <w:rsid w:val="1F523509"/>
    <w:rsid w:val="1F687C84"/>
    <w:rsid w:val="1F6C3558"/>
    <w:rsid w:val="1F6E75E5"/>
    <w:rsid w:val="1F913683"/>
    <w:rsid w:val="1FA63BA0"/>
    <w:rsid w:val="1FB53579"/>
    <w:rsid w:val="1FEC4658"/>
    <w:rsid w:val="1FEC61C1"/>
    <w:rsid w:val="1FFD6D24"/>
    <w:rsid w:val="20080E11"/>
    <w:rsid w:val="200E7887"/>
    <w:rsid w:val="201A7D87"/>
    <w:rsid w:val="202915B8"/>
    <w:rsid w:val="204761F4"/>
    <w:rsid w:val="204C5FAE"/>
    <w:rsid w:val="204E5B98"/>
    <w:rsid w:val="20591F5E"/>
    <w:rsid w:val="206C25B9"/>
    <w:rsid w:val="20750E6E"/>
    <w:rsid w:val="20C44D5F"/>
    <w:rsid w:val="20C820C4"/>
    <w:rsid w:val="20C97538"/>
    <w:rsid w:val="20D7354B"/>
    <w:rsid w:val="20D81A72"/>
    <w:rsid w:val="20DB22DE"/>
    <w:rsid w:val="20E776E6"/>
    <w:rsid w:val="210102EE"/>
    <w:rsid w:val="21080B9D"/>
    <w:rsid w:val="211F11C4"/>
    <w:rsid w:val="213E2030"/>
    <w:rsid w:val="21400E93"/>
    <w:rsid w:val="21584CF2"/>
    <w:rsid w:val="21634B52"/>
    <w:rsid w:val="216B2368"/>
    <w:rsid w:val="21915CF9"/>
    <w:rsid w:val="219E1E77"/>
    <w:rsid w:val="21BD390C"/>
    <w:rsid w:val="21E32973"/>
    <w:rsid w:val="21E336C9"/>
    <w:rsid w:val="22326444"/>
    <w:rsid w:val="226E1225"/>
    <w:rsid w:val="2274667E"/>
    <w:rsid w:val="22782D22"/>
    <w:rsid w:val="22935568"/>
    <w:rsid w:val="22936522"/>
    <w:rsid w:val="22EA4083"/>
    <w:rsid w:val="232751EB"/>
    <w:rsid w:val="235343AE"/>
    <w:rsid w:val="236B7E1C"/>
    <w:rsid w:val="2380781E"/>
    <w:rsid w:val="23980A8B"/>
    <w:rsid w:val="239D7872"/>
    <w:rsid w:val="239F3004"/>
    <w:rsid w:val="23C9255C"/>
    <w:rsid w:val="23D34513"/>
    <w:rsid w:val="23DF2CD9"/>
    <w:rsid w:val="240E61B5"/>
    <w:rsid w:val="241236E2"/>
    <w:rsid w:val="24163921"/>
    <w:rsid w:val="242749EF"/>
    <w:rsid w:val="242A0C5A"/>
    <w:rsid w:val="243B04A6"/>
    <w:rsid w:val="245F015D"/>
    <w:rsid w:val="2462224E"/>
    <w:rsid w:val="24826DC1"/>
    <w:rsid w:val="248663D3"/>
    <w:rsid w:val="2499037E"/>
    <w:rsid w:val="24A60CD7"/>
    <w:rsid w:val="24BA6A8D"/>
    <w:rsid w:val="24DB1E9E"/>
    <w:rsid w:val="24EB3F0A"/>
    <w:rsid w:val="251E61B6"/>
    <w:rsid w:val="25222E79"/>
    <w:rsid w:val="252F4F37"/>
    <w:rsid w:val="25332107"/>
    <w:rsid w:val="25903A6C"/>
    <w:rsid w:val="25A224DF"/>
    <w:rsid w:val="25CB73BB"/>
    <w:rsid w:val="25D060F7"/>
    <w:rsid w:val="25D82A62"/>
    <w:rsid w:val="25E62A71"/>
    <w:rsid w:val="25F10BD9"/>
    <w:rsid w:val="25F8738C"/>
    <w:rsid w:val="25FA4C97"/>
    <w:rsid w:val="262A79B7"/>
    <w:rsid w:val="263263B8"/>
    <w:rsid w:val="264744A2"/>
    <w:rsid w:val="264B431B"/>
    <w:rsid w:val="26533615"/>
    <w:rsid w:val="26635906"/>
    <w:rsid w:val="267D662A"/>
    <w:rsid w:val="268345D8"/>
    <w:rsid w:val="2694308B"/>
    <w:rsid w:val="269612FB"/>
    <w:rsid w:val="26B23631"/>
    <w:rsid w:val="26B9153D"/>
    <w:rsid w:val="26DB3CF9"/>
    <w:rsid w:val="26E51D84"/>
    <w:rsid w:val="26EE29A1"/>
    <w:rsid w:val="26F608BC"/>
    <w:rsid w:val="27053EA3"/>
    <w:rsid w:val="27307F20"/>
    <w:rsid w:val="274B52B4"/>
    <w:rsid w:val="2758253F"/>
    <w:rsid w:val="27756966"/>
    <w:rsid w:val="27827A09"/>
    <w:rsid w:val="27A921C3"/>
    <w:rsid w:val="27BA5D73"/>
    <w:rsid w:val="27DA0591"/>
    <w:rsid w:val="27DE74FB"/>
    <w:rsid w:val="28211E12"/>
    <w:rsid w:val="284B04C5"/>
    <w:rsid w:val="28615807"/>
    <w:rsid w:val="28656F9E"/>
    <w:rsid w:val="288C5038"/>
    <w:rsid w:val="28AB0CA4"/>
    <w:rsid w:val="28C77A65"/>
    <w:rsid w:val="28CA3F70"/>
    <w:rsid w:val="28D10DA8"/>
    <w:rsid w:val="28D34D1D"/>
    <w:rsid w:val="28D96336"/>
    <w:rsid w:val="28E025ED"/>
    <w:rsid w:val="28F86776"/>
    <w:rsid w:val="29035D31"/>
    <w:rsid w:val="290A2F1C"/>
    <w:rsid w:val="290C743D"/>
    <w:rsid w:val="29384F86"/>
    <w:rsid w:val="293944D1"/>
    <w:rsid w:val="2941611E"/>
    <w:rsid w:val="2946447D"/>
    <w:rsid w:val="295061C8"/>
    <w:rsid w:val="29545099"/>
    <w:rsid w:val="29585720"/>
    <w:rsid w:val="296120DB"/>
    <w:rsid w:val="29941564"/>
    <w:rsid w:val="29997FFF"/>
    <w:rsid w:val="299B2C91"/>
    <w:rsid w:val="29A353A4"/>
    <w:rsid w:val="29C42742"/>
    <w:rsid w:val="29CE775D"/>
    <w:rsid w:val="29DC5CCC"/>
    <w:rsid w:val="29F61BCD"/>
    <w:rsid w:val="2A1E3592"/>
    <w:rsid w:val="2A386BF7"/>
    <w:rsid w:val="2A460915"/>
    <w:rsid w:val="2A510C15"/>
    <w:rsid w:val="2A5E188F"/>
    <w:rsid w:val="2A5F01DF"/>
    <w:rsid w:val="2A650231"/>
    <w:rsid w:val="2A6A2B1B"/>
    <w:rsid w:val="2A867E70"/>
    <w:rsid w:val="2A8C4CE1"/>
    <w:rsid w:val="2A9718BD"/>
    <w:rsid w:val="2AA26D4D"/>
    <w:rsid w:val="2AAF2FCC"/>
    <w:rsid w:val="2AB544D7"/>
    <w:rsid w:val="2ACC5745"/>
    <w:rsid w:val="2AE56F18"/>
    <w:rsid w:val="2B13076C"/>
    <w:rsid w:val="2B205A61"/>
    <w:rsid w:val="2B5C3AB6"/>
    <w:rsid w:val="2B733D54"/>
    <w:rsid w:val="2B8C35A3"/>
    <w:rsid w:val="2B8E7218"/>
    <w:rsid w:val="2B963FFC"/>
    <w:rsid w:val="2BA0473E"/>
    <w:rsid w:val="2BAF3D91"/>
    <w:rsid w:val="2BC4561E"/>
    <w:rsid w:val="2C217FA1"/>
    <w:rsid w:val="2C23099E"/>
    <w:rsid w:val="2C5A577E"/>
    <w:rsid w:val="2C7B409A"/>
    <w:rsid w:val="2CA37933"/>
    <w:rsid w:val="2CA66BBF"/>
    <w:rsid w:val="2CBC471E"/>
    <w:rsid w:val="2CE9486E"/>
    <w:rsid w:val="2CF61485"/>
    <w:rsid w:val="2D09648F"/>
    <w:rsid w:val="2D102694"/>
    <w:rsid w:val="2D1B3E9A"/>
    <w:rsid w:val="2D1D7BD9"/>
    <w:rsid w:val="2D1F46F0"/>
    <w:rsid w:val="2D2D51A4"/>
    <w:rsid w:val="2D4D59DF"/>
    <w:rsid w:val="2D5A13D3"/>
    <w:rsid w:val="2D6F318A"/>
    <w:rsid w:val="2D753534"/>
    <w:rsid w:val="2D791A60"/>
    <w:rsid w:val="2D87756E"/>
    <w:rsid w:val="2D9B2964"/>
    <w:rsid w:val="2DA32781"/>
    <w:rsid w:val="2DAD675B"/>
    <w:rsid w:val="2DB31A11"/>
    <w:rsid w:val="2DBE3F82"/>
    <w:rsid w:val="2DE34CC7"/>
    <w:rsid w:val="2DFF4F14"/>
    <w:rsid w:val="2E0A2BA9"/>
    <w:rsid w:val="2E1E4397"/>
    <w:rsid w:val="2E3764CC"/>
    <w:rsid w:val="2E4415AB"/>
    <w:rsid w:val="2E522345"/>
    <w:rsid w:val="2E537C47"/>
    <w:rsid w:val="2E8465D6"/>
    <w:rsid w:val="2E8F0567"/>
    <w:rsid w:val="2E8F0879"/>
    <w:rsid w:val="2E992808"/>
    <w:rsid w:val="2E9F25FF"/>
    <w:rsid w:val="2ED52BC7"/>
    <w:rsid w:val="2ED66C98"/>
    <w:rsid w:val="2ED9019D"/>
    <w:rsid w:val="2EF73290"/>
    <w:rsid w:val="2EFE6EF2"/>
    <w:rsid w:val="2F0902BB"/>
    <w:rsid w:val="2F0B4307"/>
    <w:rsid w:val="2F113944"/>
    <w:rsid w:val="2F121AA0"/>
    <w:rsid w:val="2F2D2560"/>
    <w:rsid w:val="2F600B65"/>
    <w:rsid w:val="2F667A76"/>
    <w:rsid w:val="2F8922B3"/>
    <w:rsid w:val="2F8B5E05"/>
    <w:rsid w:val="2FA10BE7"/>
    <w:rsid w:val="2FBB514F"/>
    <w:rsid w:val="2FCC4B60"/>
    <w:rsid w:val="2FD175B0"/>
    <w:rsid w:val="2FD32D60"/>
    <w:rsid w:val="2FE456ED"/>
    <w:rsid w:val="2FF341C2"/>
    <w:rsid w:val="30066024"/>
    <w:rsid w:val="3035386D"/>
    <w:rsid w:val="30366CD0"/>
    <w:rsid w:val="303C7B04"/>
    <w:rsid w:val="30412B35"/>
    <w:rsid w:val="3043435B"/>
    <w:rsid w:val="30497A4E"/>
    <w:rsid w:val="30553726"/>
    <w:rsid w:val="305851E3"/>
    <w:rsid w:val="305C0025"/>
    <w:rsid w:val="305C4C6C"/>
    <w:rsid w:val="306754A1"/>
    <w:rsid w:val="306853D8"/>
    <w:rsid w:val="306C4102"/>
    <w:rsid w:val="306C45F0"/>
    <w:rsid w:val="307403CD"/>
    <w:rsid w:val="307E12C6"/>
    <w:rsid w:val="30972B68"/>
    <w:rsid w:val="30D04EB6"/>
    <w:rsid w:val="31094E78"/>
    <w:rsid w:val="313A1771"/>
    <w:rsid w:val="31533055"/>
    <w:rsid w:val="31545F99"/>
    <w:rsid w:val="31551D8B"/>
    <w:rsid w:val="315F4536"/>
    <w:rsid w:val="316D4F60"/>
    <w:rsid w:val="31715F5F"/>
    <w:rsid w:val="31754D99"/>
    <w:rsid w:val="3179011F"/>
    <w:rsid w:val="31D07440"/>
    <w:rsid w:val="31D627A8"/>
    <w:rsid w:val="31D96895"/>
    <w:rsid w:val="31E043D6"/>
    <w:rsid w:val="31E04BEB"/>
    <w:rsid w:val="31E86A13"/>
    <w:rsid w:val="31EB4ACD"/>
    <w:rsid w:val="31F23343"/>
    <w:rsid w:val="31FC0A77"/>
    <w:rsid w:val="320976EB"/>
    <w:rsid w:val="321A2CC7"/>
    <w:rsid w:val="32213616"/>
    <w:rsid w:val="32352D92"/>
    <w:rsid w:val="323732C3"/>
    <w:rsid w:val="324B4FB1"/>
    <w:rsid w:val="3273032B"/>
    <w:rsid w:val="32767A00"/>
    <w:rsid w:val="328B1606"/>
    <w:rsid w:val="32953370"/>
    <w:rsid w:val="32BD4F97"/>
    <w:rsid w:val="32C90D7D"/>
    <w:rsid w:val="32D71525"/>
    <w:rsid w:val="32D92E13"/>
    <w:rsid w:val="32E953C3"/>
    <w:rsid w:val="32EA0BC8"/>
    <w:rsid w:val="32F00D3D"/>
    <w:rsid w:val="32F348F5"/>
    <w:rsid w:val="330A1522"/>
    <w:rsid w:val="331623AD"/>
    <w:rsid w:val="33220C18"/>
    <w:rsid w:val="33440992"/>
    <w:rsid w:val="336E5711"/>
    <w:rsid w:val="33797E2A"/>
    <w:rsid w:val="33807935"/>
    <w:rsid w:val="338871EE"/>
    <w:rsid w:val="339B3769"/>
    <w:rsid w:val="33D678C6"/>
    <w:rsid w:val="33E82FDA"/>
    <w:rsid w:val="34084578"/>
    <w:rsid w:val="34117D48"/>
    <w:rsid w:val="345316DE"/>
    <w:rsid w:val="34671A17"/>
    <w:rsid w:val="346760A3"/>
    <w:rsid w:val="347F08EE"/>
    <w:rsid w:val="34871D1A"/>
    <w:rsid w:val="3487305A"/>
    <w:rsid w:val="34B52968"/>
    <w:rsid w:val="34DB14ED"/>
    <w:rsid w:val="34DD6172"/>
    <w:rsid w:val="34EE5278"/>
    <w:rsid w:val="34F75BA5"/>
    <w:rsid w:val="35384FD8"/>
    <w:rsid w:val="35902133"/>
    <w:rsid w:val="35B276D0"/>
    <w:rsid w:val="35D106FD"/>
    <w:rsid w:val="35ED00BC"/>
    <w:rsid w:val="36133B45"/>
    <w:rsid w:val="36227302"/>
    <w:rsid w:val="36312CCF"/>
    <w:rsid w:val="36365292"/>
    <w:rsid w:val="363B51A9"/>
    <w:rsid w:val="36495A18"/>
    <w:rsid w:val="3699009F"/>
    <w:rsid w:val="36AC5B0C"/>
    <w:rsid w:val="36BE3470"/>
    <w:rsid w:val="36C22056"/>
    <w:rsid w:val="36CD5DAD"/>
    <w:rsid w:val="36F517D2"/>
    <w:rsid w:val="3701640E"/>
    <w:rsid w:val="370453E0"/>
    <w:rsid w:val="37097F71"/>
    <w:rsid w:val="371677A3"/>
    <w:rsid w:val="37246AC3"/>
    <w:rsid w:val="373B399E"/>
    <w:rsid w:val="374972E7"/>
    <w:rsid w:val="374E20AF"/>
    <w:rsid w:val="375D0BD1"/>
    <w:rsid w:val="37605DD9"/>
    <w:rsid w:val="376918A5"/>
    <w:rsid w:val="37695810"/>
    <w:rsid w:val="376C1E62"/>
    <w:rsid w:val="376D2FB9"/>
    <w:rsid w:val="37B73425"/>
    <w:rsid w:val="37BF1678"/>
    <w:rsid w:val="37C237EF"/>
    <w:rsid w:val="37CB591E"/>
    <w:rsid w:val="37DB23AA"/>
    <w:rsid w:val="37E15B73"/>
    <w:rsid w:val="37E56C70"/>
    <w:rsid w:val="37ED4B16"/>
    <w:rsid w:val="37FB5A04"/>
    <w:rsid w:val="37FD771B"/>
    <w:rsid w:val="38162A7E"/>
    <w:rsid w:val="38225830"/>
    <w:rsid w:val="38267E64"/>
    <w:rsid w:val="382702C4"/>
    <w:rsid w:val="38481E6E"/>
    <w:rsid w:val="387B0108"/>
    <w:rsid w:val="388517E8"/>
    <w:rsid w:val="38892AE9"/>
    <w:rsid w:val="388F62BE"/>
    <w:rsid w:val="38CA7B0A"/>
    <w:rsid w:val="38DF7D46"/>
    <w:rsid w:val="38F87152"/>
    <w:rsid w:val="39016E36"/>
    <w:rsid w:val="390A6E93"/>
    <w:rsid w:val="392240CC"/>
    <w:rsid w:val="3939479F"/>
    <w:rsid w:val="393D0FD8"/>
    <w:rsid w:val="39487D6A"/>
    <w:rsid w:val="39604DFA"/>
    <w:rsid w:val="39633E79"/>
    <w:rsid w:val="396F58CF"/>
    <w:rsid w:val="397C454F"/>
    <w:rsid w:val="397E2277"/>
    <w:rsid w:val="39A00326"/>
    <w:rsid w:val="39AF3E3C"/>
    <w:rsid w:val="39B44F97"/>
    <w:rsid w:val="39D52599"/>
    <w:rsid w:val="3A076B54"/>
    <w:rsid w:val="3A0C0A66"/>
    <w:rsid w:val="3A2010AB"/>
    <w:rsid w:val="3A243728"/>
    <w:rsid w:val="3A405967"/>
    <w:rsid w:val="3A604ADA"/>
    <w:rsid w:val="3A6444B5"/>
    <w:rsid w:val="3A6744C9"/>
    <w:rsid w:val="3A7E4ACE"/>
    <w:rsid w:val="3A9F57E4"/>
    <w:rsid w:val="3AA83E13"/>
    <w:rsid w:val="3AB47AFE"/>
    <w:rsid w:val="3AC02DE5"/>
    <w:rsid w:val="3AC53306"/>
    <w:rsid w:val="3ACD736A"/>
    <w:rsid w:val="3AE070DA"/>
    <w:rsid w:val="3B01470F"/>
    <w:rsid w:val="3B045F52"/>
    <w:rsid w:val="3B1969BC"/>
    <w:rsid w:val="3B267BCE"/>
    <w:rsid w:val="3B2746B2"/>
    <w:rsid w:val="3B2D009A"/>
    <w:rsid w:val="3B313A5E"/>
    <w:rsid w:val="3B4B238E"/>
    <w:rsid w:val="3B4F059E"/>
    <w:rsid w:val="3B5F0CD1"/>
    <w:rsid w:val="3B80096A"/>
    <w:rsid w:val="3BC5195E"/>
    <w:rsid w:val="3BC6282A"/>
    <w:rsid w:val="3BD473B5"/>
    <w:rsid w:val="3BF25EA8"/>
    <w:rsid w:val="3BF95CA9"/>
    <w:rsid w:val="3C1F53BC"/>
    <w:rsid w:val="3C552DB5"/>
    <w:rsid w:val="3C6C1066"/>
    <w:rsid w:val="3C7D74CD"/>
    <w:rsid w:val="3C87042E"/>
    <w:rsid w:val="3C9D69DE"/>
    <w:rsid w:val="3CA36DD3"/>
    <w:rsid w:val="3CAA414F"/>
    <w:rsid w:val="3CD3428D"/>
    <w:rsid w:val="3CD461FF"/>
    <w:rsid w:val="3CF33B24"/>
    <w:rsid w:val="3CFB3FCD"/>
    <w:rsid w:val="3CFC1478"/>
    <w:rsid w:val="3CFC6486"/>
    <w:rsid w:val="3D0565C3"/>
    <w:rsid w:val="3D2F5116"/>
    <w:rsid w:val="3D5102E9"/>
    <w:rsid w:val="3D524C8C"/>
    <w:rsid w:val="3D602B2B"/>
    <w:rsid w:val="3D7C48FA"/>
    <w:rsid w:val="3D9C39FD"/>
    <w:rsid w:val="3DAE4B9E"/>
    <w:rsid w:val="3DB17ADF"/>
    <w:rsid w:val="3DFE530A"/>
    <w:rsid w:val="3E0D4666"/>
    <w:rsid w:val="3E0F2AB4"/>
    <w:rsid w:val="3E133E15"/>
    <w:rsid w:val="3E1E5D02"/>
    <w:rsid w:val="3E1F6FF4"/>
    <w:rsid w:val="3E2B14B6"/>
    <w:rsid w:val="3E301564"/>
    <w:rsid w:val="3E48172B"/>
    <w:rsid w:val="3E6046F8"/>
    <w:rsid w:val="3E681208"/>
    <w:rsid w:val="3E8C7A00"/>
    <w:rsid w:val="3EC03EB9"/>
    <w:rsid w:val="3ECF1AEE"/>
    <w:rsid w:val="3EE729DD"/>
    <w:rsid w:val="3EF818E6"/>
    <w:rsid w:val="3F020CDF"/>
    <w:rsid w:val="3F106B5D"/>
    <w:rsid w:val="3F5445E3"/>
    <w:rsid w:val="3F7974E9"/>
    <w:rsid w:val="3F9620CA"/>
    <w:rsid w:val="3FA04829"/>
    <w:rsid w:val="3FD00E9F"/>
    <w:rsid w:val="3FD94B71"/>
    <w:rsid w:val="3FF2631B"/>
    <w:rsid w:val="401401DF"/>
    <w:rsid w:val="402D3DDE"/>
    <w:rsid w:val="402F2CC1"/>
    <w:rsid w:val="40472026"/>
    <w:rsid w:val="404B5A58"/>
    <w:rsid w:val="405F6A59"/>
    <w:rsid w:val="4067455A"/>
    <w:rsid w:val="407636B2"/>
    <w:rsid w:val="40980318"/>
    <w:rsid w:val="40BE5C4B"/>
    <w:rsid w:val="40CC3F12"/>
    <w:rsid w:val="40EE5944"/>
    <w:rsid w:val="41024B54"/>
    <w:rsid w:val="41261F0E"/>
    <w:rsid w:val="41607455"/>
    <w:rsid w:val="416B3C95"/>
    <w:rsid w:val="4198741C"/>
    <w:rsid w:val="41A549C5"/>
    <w:rsid w:val="41AC4B35"/>
    <w:rsid w:val="41AF28DB"/>
    <w:rsid w:val="41AF4C6F"/>
    <w:rsid w:val="41CC7599"/>
    <w:rsid w:val="41DA29A8"/>
    <w:rsid w:val="42187C33"/>
    <w:rsid w:val="42502BFD"/>
    <w:rsid w:val="4289051D"/>
    <w:rsid w:val="42AC38DF"/>
    <w:rsid w:val="42CE1D95"/>
    <w:rsid w:val="43085F7A"/>
    <w:rsid w:val="43131DE9"/>
    <w:rsid w:val="432B01EB"/>
    <w:rsid w:val="43482944"/>
    <w:rsid w:val="434D1797"/>
    <w:rsid w:val="437A5C77"/>
    <w:rsid w:val="439E4725"/>
    <w:rsid w:val="43AB168F"/>
    <w:rsid w:val="43C2500A"/>
    <w:rsid w:val="43CB7BD2"/>
    <w:rsid w:val="43DD1062"/>
    <w:rsid w:val="43E7466D"/>
    <w:rsid w:val="43F232DB"/>
    <w:rsid w:val="4408740F"/>
    <w:rsid w:val="441819CD"/>
    <w:rsid w:val="441B1C74"/>
    <w:rsid w:val="444450B5"/>
    <w:rsid w:val="44591FAE"/>
    <w:rsid w:val="4472065E"/>
    <w:rsid w:val="447C6579"/>
    <w:rsid w:val="448C7FE0"/>
    <w:rsid w:val="449C34BE"/>
    <w:rsid w:val="44BA2CDE"/>
    <w:rsid w:val="44BF35D8"/>
    <w:rsid w:val="44E00643"/>
    <w:rsid w:val="44EE4597"/>
    <w:rsid w:val="45051766"/>
    <w:rsid w:val="45113C45"/>
    <w:rsid w:val="451A020C"/>
    <w:rsid w:val="452D100A"/>
    <w:rsid w:val="45376E55"/>
    <w:rsid w:val="45431735"/>
    <w:rsid w:val="454A40F1"/>
    <w:rsid w:val="455B2FF7"/>
    <w:rsid w:val="456D20E8"/>
    <w:rsid w:val="456E3D40"/>
    <w:rsid w:val="45827F89"/>
    <w:rsid w:val="45A76485"/>
    <w:rsid w:val="45B66FC3"/>
    <w:rsid w:val="45BB5240"/>
    <w:rsid w:val="45C642F2"/>
    <w:rsid w:val="45FA6F5B"/>
    <w:rsid w:val="4619152B"/>
    <w:rsid w:val="46330DF2"/>
    <w:rsid w:val="463D0061"/>
    <w:rsid w:val="463F51F7"/>
    <w:rsid w:val="46564309"/>
    <w:rsid w:val="469B53A3"/>
    <w:rsid w:val="469C5CF1"/>
    <w:rsid w:val="47075AA1"/>
    <w:rsid w:val="470F779F"/>
    <w:rsid w:val="47165793"/>
    <w:rsid w:val="47537768"/>
    <w:rsid w:val="475813F9"/>
    <w:rsid w:val="475E4BA4"/>
    <w:rsid w:val="476D0E40"/>
    <w:rsid w:val="47764BDD"/>
    <w:rsid w:val="47805EBF"/>
    <w:rsid w:val="478B0807"/>
    <w:rsid w:val="47BB4928"/>
    <w:rsid w:val="47C123D7"/>
    <w:rsid w:val="47D52303"/>
    <w:rsid w:val="47E96EB5"/>
    <w:rsid w:val="48211D4F"/>
    <w:rsid w:val="482235E6"/>
    <w:rsid w:val="482F6DF0"/>
    <w:rsid w:val="483C3E39"/>
    <w:rsid w:val="483D1E4A"/>
    <w:rsid w:val="48510689"/>
    <w:rsid w:val="48514C75"/>
    <w:rsid w:val="48553331"/>
    <w:rsid w:val="486F0149"/>
    <w:rsid w:val="488A11CB"/>
    <w:rsid w:val="48990B90"/>
    <w:rsid w:val="489A74FB"/>
    <w:rsid w:val="489F67D3"/>
    <w:rsid w:val="48AF2064"/>
    <w:rsid w:val="48B80304"/>
    <w:rsid w:val="48DE111E"/>
    <w:rsid w:val="48E21FD2"/>
    <w:rsid w:val="48E967FF"/>
    <w:rsid w:val="48EE5320"/>
    <w:rsid w:val="48F87792"/>
    <w:rsid w:val="48FE6249"/>
    <w:rsid w:val="495056C6"/>
    <w:rsid w:val="497D3077"/>
    <w:rsid w:val="49B71278"/>
    <w:rsid w:val="49D43FAE"/>
    <w:rsid w:val="49D6767D"/>
    <w:rsid w:val="49F5784B"/>
    <w:rsid w:val="49FE39B5"/>
    <w:rsid w:val="4A255F49"/>
    <w:rsid w:val="4A2E6B00"/>
    <w:rsid w:val="4A457E28"/>
    <w:rsid w:val="4A611856"/>
    <w:rsid w:val="4A6F32B2"/>
    <w:rsid w:val="4A810743"/>
    <w:rsid w:val="4A847CC1"/>
    <w:rsid w:val="4A882ED3"/>
    <w:rsid w:val="4A8B25CE"/>
    <w:rsid w:val="4AB9376F"/>
    <w:rsid w:val="4AC55515"/>
    <w:rsid w:val="4ACF5875"/>
    <w:rsid w:val="4ADD3DF4"/>
    <w:rsid w:val="4B2A20B1"/>
    <w:rsid w:val="4B2D775E"/>
    <w:rsid w:val="4B31165A"/>
    <w:rsid w:val="4B3F022C"/>
    <w:rsid w:val="4B5415C7"/>
    <w:rsid w:val="4B6A6274"/>
    <w:rsid w:val="4B8C0454"/>
    <w:rsid w:val="4B977589"/>
    <w:rsid w:val="4B9A64AD"/>
    <w:rsid w:val="4BA82B20"/>
    <w:rsid w:val="4BBB6CC4"/>
    <w:rsid w:val="4BEE2859"/>
    <w:rsid w:val="4C08211E"/>
    <w:rsid w:val="4C0B25E6"/>
    <w:rsid w:val="4C241BFD"/>
    <w:rsid w:val="4C357145"/>
    <w:rsid w:val="4C524AB6"/>
    <w:rsid w:val="4C53565E"/>
    <w:rsid w:val="4C742728"/>
    <w:rsid w:val="4C8B2AB9"/>
    <w:rsid w:val="4C8C48E3"/>
    <w:rsid w:val="4C9B28DC"/>
    <w:rsid w:val="4C9E3A29"/>
    <w:rsid w:val="4CAE6A73"/>
    <w:rsid w:val="4CAE7F2E"/>
    <w:rsid w:val="4CD5307A"/>
    <w:rsid w:val="4CDA7328"/>
    <w:rsid w:val="4CDD4F1C"/>
    <w:rsid w:val="4CE52AD6"/>
    <w:rsid w:val="4D012839"/>
    <w:rsid w:val="4D071804"/>
    <w:rsid w:val="4D0B3DE3"/>
    <w:rsid w:val="4D3764FF"/>
    <w:rsid w:val="4D586E4B"/>
    <w:rsid w:val="4D5D042E"/>
    <w:rsid w:val="4D623B45"/>
    <w:rsid w:val="4D7033C2"/>
    <w:rsid w:val="4D7A666D"/>
    <w:rsid w:val="4D9D34CB"/>
    <w:rsid w:val="4DA0743B"/>
    <w:rsid w:val="4DB546E3"/>
    <w:rsid w:val="4DC330EA"/>
    <w:rsid w:val="4DD94072"/>
    <w:rsid w:val="4DDE1A3D"/>
    <w:rsid w:val="4E1D642D"/>
    <w:rsid w:val="4E31714E"/>
    <w:rsid w:val="4E5320D6"/>
    <w:rsid w:val="4E635BFC"/>
    <w:rsid w:val="4E894291"/>
    <w:rsid w:val="4E89589F"/>
    <w:rsid w:val="4EB71049"/>
    <w:rsid w:val="4ECD0241"/>
    <w:rsid w:val="4EE614D3"/>
    <w:rsid w:val="4F101477"/>
    <w:rsid w:val="4F453E9C"/>
    <w:rsid w:val="4F4700BF"/>
    <w:rsid w:val="4F5259AD"/>
    <w:rsid w:val="4F550F99"/>
    <w:rsid w:val="4F701287"/>
    <w:rsid w:val="4F941FE1"/>
    <w:rsid w:val="4FAF6398"/>
    <w:rsid w:val="4FBB0CFA"/>
    <w:rsid w:val="4FD176AE"/>
    <w:rsid w:val="4FDC2F41"/>
    <w:rsid w:val="4FEB5C79"/>
    <w:rsid w:val="500135B8"/>
    <w:rsid w:val="50181784"/>
    <w:rsid w:val="502D246F"/>
    <w:rsid w:val="50437782"/>
    <w:rsid w:val="50803AA1"/>
    <w:rsid w:val="50810D02"/>
    <w:rsid w:val="509F20FC"/>
    <w:rsid w:val="50C3723E"/>
    <w:rsid w:val="50C42D7A"/>
    <w:rsid w:val="50D41905"/>
    <w:rsid w:val="50DB2B03"/>
    <w:rsid w:val="51252D20"/>
    <w:rsid w:val="51274169"/>
    <w:rsid w:val="512E2152"/>
    <w:rsid w:val="513414FA"/>
    <w:rsid w:val="51520C47"/>
    <w:rsid w:val="51826E36"/>
    <w:rsid w:val="518E28E7"/>
    <w:rsid w:val="51B26258"/>
    <w:rsid w:val="51B57B79"/>
    <w:rsid w:val="51C01805"/>
    <w:rsid w:val="51C158A5"/>
    <w:rsid w:val="51E91462"/>
    <w:rsid w:val="51EB37F2"/>
    <w:rsid w:val="520A710B"/>
    <w:rsid w:val="520D5B3F"/>
    <w:rsid w:val="52171107"/>
    <w:rsid w:val="522651CD"/>
    <w:rsid w:val="524417E2"/>
    <w:rsid w:val="524B66D0"/>
    <w:rsid w:val="525C762C"/>
    <w:rsid w:val="526444F0"/>
    <w:rsid w:val="526A2DD1"/>
    <w:rsid w:val="52F9538D"/>
    <w:rsid w:val="53295884"/>
    <w:rsid w:val="533A61D2"/>
    <w:rsid w:val="53512F2A"/>
    <w:rsid w:val="53533AFA"/>
    <w:rsid w:val="535A2E65"/>
    <w:rsid w:val="537E769E"/>
    <w:rsid w:val="5385428A"/>
    <w:rsid w:val="538F48F6"/>
    <w:rsid w:val="538F558B"/>
    <w:rsid w:val="53AE5701"/>
    <w:rsid w:val="53D55EF2"/>
    <w:rsid w:val="53DA07BB"/>
    <w:rsid w:val="53E8624A"/>
    <w:rsid w:val="53EC362E"/>
    <w:rsid w:val="54080FB2"/>
    <w:rsid w:val="54081A2B"/>
    <w:rsid w:val="540D2518"/>
    <w:rsid w:val="5418189B"/>
    <w:rsid w:val="541A5EF0"/>
    <w:rsid w:val="54285427"/>
    <w:rsid w:val="543D52BB"/>
    <w:rsid w:val="545320A9"/>
    <w:rsid w:val="54963B3A"/>
    <w:rsid w:val="549B2A05"/>
    <w:rsid w:val="54AF0CF4"/>
    <w:rsid w:val="54B32719"/>
    <w:rsid w:val="54D703B6"/>
    <w:rsid w:val="550D47A8"/>
    <w:rsid w:val="552C6253"/>
    <w:rsid w:val="55323BE7"/>
    <w:rsid w:val="55497AD3"/>
    <w:rsid w:val="554B260E"/>
    <w:rsid w:val="55513C1C"/>
    <w:rsid w:val="556C6C99"/>
    <w:rsid w:val="556E2E84"/>
    <w:rsid w:val="558274F5"/>
    <w:rsid w:val="558937EC"/>
    <w:rsid w:val="55976D9B"/>
    <w:rsid w:val="55A207E5"/>
    <w:rsid w:val="55C03E4E"/>
    <w:rsid w:val="55E75E13"/>
    <w:rsid w:val="55F27D67"/>
    <w:rsid w:val="561C6E49"/>
    <w:rsid w:val="562477D7"/>
    <w:rsid w:val="56482E4F"/>
    <w:rsid w:val="56515CE6"/>
    <w:rsid w:val="5652078E"/>
    <w:rsid w:val="566405CA"/>
    <w:rsid w:val="567D21A6"/>
    <w:rsid w:val="569F11D9"/>
    <w:rsid w:val="56A75355"/>
    <w:rsid w:val="56C25E59"/>
    <w:rsid w:val="56E17D22"/>
    <w:rsid w:val="56F00A3B"/>
    <w:rsid w:val="5700049A"/>
    <w:rsid w:val="57052AB5"/>
    <w:rsid w:val="570C64EE"/>
    <w:rsid w:val="571C71BB"/>
    <w:rsid w:val="572C1A25"/>
    <w:rsid w:val="573055EC"/>
    <w:rsid w:val="57486E3A"/>
    <w:rsid w:val="574D0BDF"/>
    <w:rsid w:val="57534FCC"/>
    <w:rsid w:val="575E3D12"/>
    <w:rsid w:val="576824B8"/>
    <w:rsid w:val="578C0CC9"/>
    <w:rsid w:val="57B61252"/>
    <w:rsid w:val="57CA0AED"/>
    <w:rsid w:val="57D01057"/>
    <w:rsid w:val="57DE6FFA"/>
    <w:rsid w:val="57EC6F4F"/>
    <w:rsid w:val="57F275C2"/>
    <w:rsid w:val="57FD0004"/>
    <w:rsid w:val="58007253"/>
    <w:rsid w:val="58090A19"/>
    <w:rsid w:val="5817055B"/>
    <w:rsid w:val="58183774"/>
    <w:rsid w:val="581A5E6A"/>
    <w:rsid w:val="582D40AB"/>
    <w:rsid w:val="582E2C61"/>
    <w:rsid w:val="58336B72"/>
    <w:rsid w:val="583A24E0"/>
    <w:rsid w:val="584C5BE7"/>
    <w:rsid w:val="587B76EB"/>
    <w:rsid w:val="58890AC0"/>
    <w:rsid w:val="589526AE"/>
    <w:rsid w:val="58AB7AAF"/>
    <w:rsid w:val="58EC1B73"/>
    <w:rsid w:val="59040A96"/>
    <w:rsid w:val="590808BE"/>
    <w:rsid w:val="59104F93"/>
    <w:rsid w:val="59202E4A"/>
    <w:rsid w:val="59786977"/>
    <w:rsid w:val="59842A2E"/>
    <w:rsid w:val="599B22C3"/>
    <w:rsid w:val="59A6261F"/>
    <w:rsid w:val="59AB4D01"/>
    <w:rsid w:val="59AF1F1F"/>
    <w:rsid w:val="59B908BD"/>
    <w:rsid w:val="59E73851"/>
    <w:rsid w:val="59F6711A"/>
    <w:rsid w:val="59F6725B"/>
    <w:rsid w:val="5A0426E7"/>
    <w:rsid w:val="5A1A4D90"/>
    <w:rsid w:val="5A3D7972"/>
    <w:rsid w:val="5A507E1B"/>
    <w:rsid w:val="5A581FC0"/>
    <w:rsid w:val="5A763D7F"/>
    <w:rsid w:val="5A7D4B9D"/>
    <w:rsid w:val="5A872E52"/>
    <w:rsid w:val="5A894C82"/>
    <w:rsid w:val="5AA11B1A"/>
    <w:rsid w:val="5AC25652"/>
    <w:rsid w:val="5AC8157A"/>
    <w:rsid w:val="5ADE617A"/>
    <w:rsid w:val="5ADF09CC"/>
    <w:rsid w:val="5ADF1F4C"/>
    <w:rsid w:val="5AE01227"/>
    <w:rsid w:val="5AEC7620"/>
    <w:rsid w:val="5B1E37DD"/>
    <w:rsid w:val="5B1F1365"/>
    <w:rsid w:val="5B3C7997"/>
    <w:rsid w:val="5B3D45EF"/>
    <w:rsid w:val="5B73512C"/>
    <w:rsid w:val="5B991AA4"/>
    <w:rsid w:val="5BAC1263"/>
    <w:rsid w:val="5BB4278A"/>
    <w:rsid w:val="5BC25666"/>
    <w:rsid w:val="5BC73A47"/>
    <w:rsid w:val="5C0B3AE9"/>
    <w:rsid w:val="5C192BF3"/>
    <w:rsid w:val="5C2A70DF"/>
    <w:rsid w:val="5C2D044C"/>
    <w:rsid w:val="5C5C7A58"/>
    <w:rsid w:val="5C5D3EBE"/>
    <w:rsid w:val="5C770585"/>
    <w:rsid w:val="5C771F84"/>
    <w:rsid w:val="5C777413"/>
    <w:rsid w:val="5C7C3225"/>
    <w:rsid w:val="5C9C7CF8"/>
    <w:rsid w:val="5CB10DE4"/>
    <w:rsid w:val="5CCA504F"/>
    <w:rsid w:val="5CCC5D64"/>
    <w:rsid w:val="5CE071A4"/>
    <w:rsid w:val="5CFF323A"/>
    <w:rsid w:val="5D26661D"/>
    <w:rsid w:val="5D3125F7"/>
    <w:rsid w:val="5D71273C"/>
    <w:rsid w:val="5D8657E9"/>
    <w:rsid w:val="5D9D29F0"/>
    <w:rsid w:val="5DA04106"/>
    <w:rsid w:val="5DA73D9F"/>
    <w:rsid w:val="5E06151C"/>
    <w:rsid w:val="5E070449"/>
    <w:rsid w:val="5E0F02F4"/>
    <w:rsid w:val="5E4352D5"/>
    <w:rsid w:val="5E476EBE"/>
    <w:rsid w:val="5E4A2AC7"/>
    <w:rsid w:val="5E5A5E5A"/>
    <w:rsid w:val="5E5E1090"/>
    <w:rsid w:val="5E711C68"/>
    <w:rsid w:val="5E877C20"/>
    <w:rsid w:val="5EB963F9"/>
    <w:rsid w:val="5EC04FBA"/>
    <w:rsid w:val="5ED01D22"/>
    <w:rsid w:val="5ED71829"/>
    <w:rsid w:val="5EDE2C29"/>
    <w:rsid w:val="5EE50481"/>
    <w:rsid w:val="5F043631"/>
    <w:rsid w:val="5F0511B1"/>
    <w:rsid w:val="5F100A83"/>
    <w:rsid w:val="5F1F7ADB"/>
    <w:rsid w:val="5F633C73"/>
    <w:rsid w:val="5F68275C"/>
    <w:rsid w:val="5F6F564B"/>
    <w:rsid w:val="5F776059"/>
    <w:rsid w:val="5F7E3D5F"/>
    <w:rsid w:val="5F834FFD"/>
    <w:rsid w:val="5F9C7A1E"/>
    <w:rsid w:val="5FA6743C"/>
    <w:rsid w:val="5FEC0B33"/>
    <w:rsid w:val="60017402"/>
    <w:rsid w:val="60114C64"/>
    <w:rsid w:val="604234A8"/>
    <w:rsid w:val="604A4122"/>
    <w:rsid w:val="60646AFA"/>
    <w:rsid w:val="60647656"/>
    <w:rsid w:val="606863BA"/>
    <w:rsid w:val="607231CE"/>
    <w:rsid w:val="608D3940"/>
    <w:rsid w:val="608E40F8"/>
    <w:rsid w:val="60A00508"/>
    <w:rsid w:val="60A11899"/>
    <w:rsid w:val="60D770B8"/>
    <w:rsid w:val="60D96102"/>
    <w:rsid w:val="60E4466C"/>
    <w:rsid w:val="60ED6C03"/>
    <w:rsid w:val="60F16A49"/>
    <w:rsid w:val="61085F15"/>
    <w:rsid w:val="610C1D82"/>
    <w:rsid w:val="613F1FEB"/>
    <w:rsid w:val="614E4EDA"/>
    <w:rsid w:val="61636A25"/>
    <w:rsid w:val="616429A9"/>
    <w:rsid w:val="6169670C"/>
    <w:rsid w:val="61816CAF"/>
    <w:rsid w:val="61957EE2"/>
    <w:rsid w:val="61A166ED"/>
    <w:rsid w:val="61B912F5"/>
    <w:rsid w:val="61FF294E"/>
    <w:rsid w:val="62015CB8"/>
    <w:rsid w:val="620E4C9B"/>
    <w:rsid w:val="620F49EF"/>
    <w:rsid w:val="62131E9F"/>
    <w:rsid w:val="62204C57"/>
    <w:rsid w:val="6235191E"/>
    <w:rsid w:val="6236028A"/>
    <w:rsid w:val="623B6825"/>
    <w:rsid w:val="62406D0F"/>
    <w:rsid w:val="624C3923"/>
    <w:rsid w:val="626108BF"/>
    <w:rsid w:val="627A39DE"/>
    <w:rsid w:val="627A709D"/>
    <w:rsid w:val="627F270E"/>
    <w:rsid w:val="62870834"/>
    <w:rsid w:val="62C71625"/>
    <w:rsid w:val="62E800D6"/>
    <w:rsid w:val="62E8418D"/>
    <w:rsid w:val="63060564"/>
    <w:rsid w:val="630D5064"/>
    <w:rsid w:val="630F2CB9"/>
    <w:rsid w:val="63122BAE"/>
    <w:rsid w:val="631E3CB5"/>
    <w:rsid w:val="6360729F"/>
    <w:rsid w:val="63654168"/>
    <w:rsid w:val="63685D9A"/>
    <w:rsid w:val="638B2568"/>
    <w:rsid w:val="638F3199"/>
    <w:rsid w:val="63927E26"/>
    <w:rsid w:val="6394299D"/>
    <w:rsid w:val="63971F20"/>
    <w:rsid w:val="63A5076F"/>
    <w:rsid w:val="63A66C4E"/>
    <w:rsid w:val="63EC4C0F"/>
    <w:rsid w:val="63F640A6"/>
    <w:rsid w:val="64316872"/>
    <w:rsid w:val="643B5F38"/>
    <w:rsid w:val="64537938"/>
    <w:rsid w:val="647342AB"/>
    <w:rsid w:val="647706A9"/>
    <w:rsid w:val="649B7296"/>
    <w:rsid w:val="64AD28DD"/>
    <w:rsid w:val="64D91628"/>
    <w:rsid w:val="64FF6102"/>
    <w:rsid w:val="6517434D"/>
    <w:rsid w:val="651E2243"/>
    <w:rsid w:val="6549517E"/>
    <w:rsid w:val="6557261D"/>
    <w:rsid w:val="65652EB4"/>
    <w:rsid w:val="657E5E40"/>
    <w:rsid w:val="65856B08"/>
    <w:rsid w:val="65C70A5B"/>
    <w:rsid w:val="65C9565C"/>
    <w:rsid w:val="65D467C6"/>
    <w:rsid w:val="65F32F36"/>
    <w:rsid w:val="66027BA2"/>
    <w:rsid w:val="6607031A"/>
    <w:rsid w:val="660E777C"/>
    <w:rsid w:val="66675CFA"/>
    <w:rsid w:val="66BB4827"/>
    <w:rsid w:val="66C27EEB"/>
    <w:rsid w:val="66CF3E08"/>
    <w:rsid w:val="66D50F5C"/>
    <w:rsid w:val="66E346ED"/>
    <w:rsid w:val="66F555C5"/>
    <w:rsid w:val="66F81F07"/>
    <w:rsid w:val="66FA154B"/>
    <w:rsid w:val="67095AF2"/>
    <w:rsid w:val="670D70D5"/>
    <w:rsid w:val="672159BD"/>
    <w:rsid w:val="672572B5"/>
    <w:rsid w:val="67282FE2"/>
    <w:rsid w:val="673907BB"/>
    <w:rsid w:val="67430576"/>
    <w:rsid w:val="674E3D35"/>
    <w:rsid w:val="67633D71"/>
    <w:rsid w:val="67AF7C22"/>
    <w:rsid w:val="67BE3635"/>
    <w:rsid w:val="67C3586B"/>
    <w:rsid w:val="67C463E2"/>
    <w:rsid w:val="67D41A99"/>
    <w:rsid w:val="68031DF1"/>
    <w:rsid w:val="68283C69"/>
    <w:rsid w:val="682F6D94"/>
    <w:rsid w:val="6832579B"/>
    <w:rsid w:val="6836550F"/>
    <w:rsid w:val="684C2072"/>
    <w:rsid w:val="68546AA1"/>
    <w:rsid w:val="68895F68"/>
    <w:rsid w:val="68A67969"/>
    <w:rsid w:val="68B83418"/>
    <w:rsid w:val="68D5279D"/>
    <w:rsid w:val="68D926B7"/>
    <w:rsid w:val="68E8519E"/>
    <w:rsid w:val="68EA6B5F"/>
    <w:rsid w:val="68EB1980"/>
    <w:rsid w:val="68EE1073"/>
    <w:rsid w:val="68F51A17"/>
    <w:rsid w:val="68FD3C52"/>
    <w:rsid w:val="69410428"/>
    <w:rsid w:val="6983507C"/>
    <w:rsid w:val="69932B10"/>
    <w:rsid w:val="69A24F74"/>
    <w:rsid w:val="69B44691"/>
    <w:rsid w:val="69C023D3"/>
    <w:rsid w:val="69F7318B"/>
    <w:rsid w:val="69FF4BA5"/>
    <w:rsid w:val="69FF5ED0"/>
    <w:rsid w:val="6A034C9C"/>
    <w:rsid w:val="6A3255CF"/>
    <w:rsid w:val="6A6103B6"/>
    <w:rsid w:val="6A831486"/>
    <w:rsid w:val="6A960E6A"/>
    <w:rsid w:val="6A96687C"/>
    <w:rsid w:val="6AA72397"/>
    <w:rsid w:val="6AD301A3"/>
    <w:rsid w:val="6ADF60EB"/>
    <w:rsid w:val="6AF23679"/>
    <w:rsid w:val="6AF251C7"/>
    <w:rsid w:val="6B2A6FCA"/>
    <w:rsid w:val="6B2B615B"/>
    <w:rsid w:val="6B35482E"/>
    <w:rsid w:val="6B3B082B"/>
    <w:rsid w:val="6B4C4ECD"/>
    <w:rsid w:val="6B996D51"/>
    <w:rsid w:val="6BB271C1"/>
    <w:rsid w:val="6BC01A3E"/>
    <w:rsid w:val="6BD926A7"/>
    <w:rsid w:val="6BDB000E"/>
    <w:rsid w:val="6BE717FA"/>
    <w:rsid w:val="6C1852C7"/>
    <w:rsid w:val="6C2F0B70"/>
    <w:rsid w:val="6C3B57AC"/>
    <w:rsid w:val="6C3B5C90"/>
    <w:rsid w:val="6C717C86"/>
    <w:rsid w:val="6C8F4D4B"/>
    <w:rsid w:val="6C964F32"/>
    <w:rsid w:val="6CA966F4"/>
    <w:rsid w:val="6CAA724F"/>
    <w:rsid w:val="6CAB1987"/>
    <w:rsid w:val="6CAB790B"/>
    <w:rsid w:val="6CB84C86"/>
    <w:rsid w:val="6CD608E8"/>
    <w:rsid w:val="6D0A2868"/>
    <w:rsid w:val="6D1902AC"/>
    <w:rsid w:val="6D5A0C9D"/>
    <w:rsid w:val="6D6518C8"/>
    <w:rsid w:val="6D7116BB"/>
    <w:rsid w:val="6D7E695A"/>
    <w:rsid w:val="6D9C143D"/>
    <w:rsid w:val="6DBD1D23"/>
    <w:rsid w:val="6DDE320B"/>
    <w:rsid w:val="6E131B0C"/>
    <w:rsid w:val="6E1A268A"/>
    <w:rsid w:val="6E2D29DD"/>
    <w:rsid w:val="6E594B3B"/>
    <w:rsid w:val="6E6C649D"/>
    <w:rsid w:val="6E837385"/>
    <w:rsid w:val="6E943A38"/>
    <w:rsid w:val="6EB979D8"/>
    <w:rsid w:val="6EC24B72"/>
    <w:rsid w:val="6ECE0CD3"/>
    <w:rsid w:val="6ECF30DC"/>
    <w:rsid w:val="6EF457C6"/>
    <w:rsid w:val="6F210051"/>
    <w:rsid w:val="6F293EEF"/>
    <w:rsid w:val="6F41752A"/>
    <w:rsid w:val="6F656AE1"/>
    <w:rsid w:val="6F692D71"/>
    <w:rsid w:val="6F6F79ED"/>
    <w:rsid w:val="6F712845"/>
    <w:rsid w:val="6F855DF8"/>
    <w:rsid w:val="6F95301F"/>
    <w:rsid w:val="6FCA0D1A"/>
    <w:rsid w:val="6FE67AF1"/>
    <w:rsid w:val="6FF6514C"/>
    <w:rsid w:val="6FFA2480"/>
    <w:rsid w:val="701668BA"/>
    <w:rsid w:val="703942CF"/>
    <w:rsid w:val="703B5BED"/>
    <w:rsid w:val="70543705"/>
    <w:rsid w:val="705944FB"/>
    <w:rsid w:val="708471F4"/>
    <w:rsid w:val="7089219F"/>
    <w:rsid w:val="709B0AE2"/>
    <w:rsid w:val="70A87426"/>
    <w:rsid w:val="70D95DA9"/>
    <w:rsid w:val="70F7776F"/>
    <w:rsid w:val="71097C61"/>
    <w:rsid w:val="710B046B"/>
    <w:rsid w:val="711D7DD0"/>
    <w:rsid w:val="711E152A"/>
    <w:rsid w:val="7120303C"/>
    <w:rsid w:val="71437E3D"/>
    <w:rsid w:val="714F60D0"/>
    <w:rsid w:val="715507CC"/>
    <w:rsid w:val="71705D4A"/>
    <w:rsid w:val="71781137"/>
    <w:rsid w:val="718B37B7"/>
    <w:rsid w:val="71920A0A"/>
    <w:rsid w:val="7194037B"/>
    <w:rsid w:val="71A14901"/>
    <w:rsid w:val="71AC5DFF"/>
    <w:rsid w:val="71B46D33"/>
    <w:rsid w:val="71B544A4"/>
    <w:rsid w:val="71C80031"/>
    <w:rsid w:val="71EC3D74"/>
    <w:rsid w:val="71EC52E9"/>
    <w:rsid w:val="71EE1C24"/>
    <w:rsid w:val="720830B8"/>
    <w:rsid w:val="723633CF"/>
    <w:rsid w:val="72523E55"/>
    <w:rsid w:val="72A702CE"/>
    <w:rsid w:val="72AB141C"/>
    <w:rsid w:val="72B36CCA"/>
    <w:rsid w:val="72C537E3"/>
    <w:rsid w:val="73057D3A"/>
    <w:rsid w:val="73060175"/>
    <w:rsid w:val="730A4ACC"/>
    <w:rsid w:val="73123DC1"/>
    <w:rsid w:val="731A3480"/>
    <w:rsid w:val="73204F65"/>
    <w:rsid w:val="73751080"/>
    <w:rsid w:val="73753CDB"/>
    <w:rsid w:val="738F3039"/>
    <w:rsid w:val="73937146"/>
    <w:rsid w:val="739C1F41"/>
    <w:rsid w:val="73A1660F"/>
    <w:rsid w:val="73B55B53"/>
    <w:rsid w:val="73B95E19"/>
    <w:rsid w:val="73BA2CC2"/>
    <w:rsid w:val="73BF7539"/>
    <w:rsid w:val="73F26371"/>
    <w:rsid w:val="74027570"/>
    <w:rsid w:val="74136C47"/>
    <w:rsid w:val="743A0515"/>
    <w:rsid w:val="74461EFF"/>
    <w:rsid w:val="74746ED1"/>
    <w:rsid w:val="7485471C"/>
    <w:rsid w:val="749E71D5"/>
    <w:rsid w:val="74A54E6B"/>
    <w:rsid w:val="74C95A60"/>
    <w:rsid w:val="74CE5B2E"/>
    <w:rsid w:val="74E87349"/>
    <w:rsid w:val="751D5D76"/>
    <w:rsid w:val="752D1131"/>
    <w:rsid w:val="75362797"/>
    <w:rsid w:val="753C59E0"/>
    <w:rsid w:val="75413B1C"/>
    <w:rsid w:val="75497133"/>
    <w:rsid w:val="754C7939"/>
    <w:rsid w:val="7551320C"/>
    <w:rsid w:val="75627E8E"/>
    <w:rsid w:val="75700725"/>
    <w:rsid w:val="757B39E6"/>
    <w:rsid w:val="758A2EA5"/>
    <w:rsid w:val="758B5118"/>
    <w:rsid w:val="758D7445"/>
    <w:rsid w:val="75DF3AA3"/>
    <w:rsid w:val="76206E8D"/>
    <w:rsid w:val="76372FD1"/>
    <w:rsid w:val="763938D9"/>
    <w:rsid w:val="76431804"/>
    <w:rsid w:val="764D15F8"/>
    <w:rsid w:val="766D3FAB"/>
    <w:rsid w:val="767C2AED"/>
    <w:rsid w:val="768B2C7F"/>
    <w:rsid w:val="769E6538"/>
    <w:rsid w:val="76A26988"/>
    <w:rsid w:val="76BA39E5"/>
    <w:rsid w:val="76C17399"/>
    <w:rsid w:val="76FA3E9A"/>
    <w:rsid w:val="771E263E"/>
    <w:rsid w:val="7720332B"/>
    <w:rsid w:val="77283ED8"/>
    <w:rsid w:val="7750648E"/>
    <w:rsid w:val="77A6393A"/>
    <w:rsid w:val="77AB66CB"/>
    <w:rsid w:val="77AD0039"/>
    <w:rsid w:val="77D62BF9"/>
    <w:rsid w:val="77DB0B66"/>
    <w:rsid w:val="77F73011"/>
    <w:rsid w:val="77FC2988"/>
    <w:rsid w:val="77FD5D95"/>
    <w:rsid w:val="77FE1F38"/>
    <w:rsid w:val="78062F88"/>
    <w:rsid w:val="78430AF1"/>
    <w:rsid w:val="7870340B"/>
    <w:rsid w:val="787F223B"/>
    <w:rsid w:val="78824BB3"/>
    <w:rsid w:val="78901371"/>
    <w:rsid w:val="789422A4"/>
    <w:rsid w:val="78A400EB"/>
    <w:rsid w:val="78C51FBA"/>
    <w:rsid w:val="78D23BC6"/>
    <w:rsid w:val="78DD3562"/>
    <w:rsid w:val="78DE604E"/>
    <w:rsid w:val="78EB7AA3"/>
    <w:rsid w:val="79041927"/>
    <w:rsid w:val="791A3B8D"/>
    <w:rsid w:val="79272A41"/>
    <w:rsid w:val="79364FCD"/>
    <w:rsid w:val="795D2677"/>
    <w:rsid w:val="797A2049"/>
    <w:rsid w:val="7995630D"/>
    <w:rsid w:val="79F2430A"/>
    <w:rsid w:val="7A093A01"/>
    <w:rsid w:val="7A2C6231"/>
    <w:rsid w:val="7A436EDE"/>
    <w:rsid w:val="7A4F58AF"/>
    <w:rsid w:val="7A654B6B"/>
    <w:rsid w:val="7A727E58"/>
    <w:rsid w:val="7A8C4829"/>
    <w:rsid w:val="7AA24D84"/>
    <w:rsid w:val="7AC41FC9"/>
    <w:rsid w:val="7AE51E82"/>
    <w:rsid w:val="7AF0647D"/>
    <w:rsid w:val="7AFD128D"/>
    <w:rsid w:val="7B3E6E50"/>
    <w:rsid w:val="7B4B0460"/>
    <w:rsid w:val="7B6C33C2"/>
    <w:rsid w:val="7B700C91"/>
    <w:rsid w:val="7B785C8C"/>
    <w:rsid w:val="7BA9538F"/>
    <w:rsid w:val="7BED51AA"/>
    <w:rsid w:val="7C1135A1"/>
    <w:rsid w:val="7C12425C"/>
    <w:rsid w:val="7C1E02AC"/>
    <w:rsid w:val="7C40258B"/>
    <w:rsid w:val="7C431D80"/>
    <w:rsid w:val="7C454CC1"/>
    <w:rsid w:val="7C603F18"/>
    <w:rsid w:val="7C606BAE"/>
    <w:rsid w:val="7C726693"/>
    <w:rsid w:val="7C79442E"/>
    <w:rsid w:val="7C937E63"/>
    <w:rsid w:val="7C9C6116"/>
    <w:rsid w:val="7CA5508E"/>
    <w:rsid w:val="7CB6175C"/>
    <w:rsid w:val="7CBE7937"/>
    <w:rsid w:val="7CC1617F"/>
    <w:rsid w:val="7D0A4748"/>
    <w:rsid w:val="7D0C1BCC"/>
    <w:rsid w:val="7D1F12E2"/>
    <w:rsid w:val="7D257FB0"/>
    <w:rsid w:val="7D33599F"/>
    <w:rsid w:val="7D516F6D"/>
    <w:rsid w:val="7D56042C"/>
    <w:rsid w:val="7D646FF5"/>
    <w:rsid w:val="7D8F4442"/>
    <w:rsid w:val="7DA11840"/>
    <w:rsid w:val="7DA11A5B"/>
    <w:rsid w:val="7DB41AD4"/>
    <w:rsid w:val="7DC655CA"/>
    <w:rsid w:val="7DC712E4"/>
    <w:rsid w:val="7DD86997"/>
    <w:rsid w:val="7DEA0CDE"/>
    <w:rsid w:val="7DEA1365"/>
    <w:rsid w:val="7DF0473E"/>
    <w:rsid w:val="7DF17091"/>
    <w:rsid w:val="7DFA681B"/>
    <w:rsid w:val="7E116FF5"/>
    <w:rsid w:val="7E18660C"/>
    <w:rsid w:val="7E236DEF"/>
    <w:rsid w:val="7E3B3E78"/>
    <w:rsid w:val="7E597E38"/>
    <w:rsid w:val="7E5F0BDE"/>
    <w:rsid w:val="7E691554"/>
    <w:rsid w:val="7E94223E"/>
    <w:rsid w:val="7EF240FA"/>
    <w:rsid w:val="7EF55E35"/>
    <w:rsid w:val="7F11720E"/>
    <w:rsid w:val="7F426235"/>
    <w:rsid w:val="7F567447"/>
    <w:rsid w:val="7F7D0D31"/>
    <w:rsid w:val="7F7E265B"/>
    <w:rsid w:val="7F837A30"/>
    <w:rsid w:val="7F9008F0"/>
    <w:rsid w:val="7F9711CD"/>
    <w:rsid w:val="7FB17582"/>
    <w:rsid w:val="7FD664DB"/>
    <w:rsid w:val="7FE9186C"/>
    <w:rsid w:val="7FEA13E0"/>
    <w:rsid w:val="7FEC2024"/>
    <w:rsid w:val="7FEC4A34"/>
    <w:rsid w:val="7FFB43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color w:val="767171" w:themeColor="background2" w:themeShade="80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color w:val="404040" w:themeColor="text1" w:themeTint="BF"/>
      <w:sz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2 Char"/>
    <w:link w:val="3"/>
    <w:qFormat/>
    <w:uiPriority w:val="0"/>
    <w:rPr>
      <w:rFonts w:ascii="Arial" w:hAnsi="Arial" w:eastAsia="微软雅黑"/>
      <w:b/>
      <w:color w:val="404040" w:themeColor="text1" w:themeTint="BF"/>
      <w:sz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1">
    <w:name w:val="正文1"/>
    <w:qFormat/>
    <w:uiPriority w:val="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hAnsi="Baskerville" w:eastAsia="Baskerville" w:cs="Baskerville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character" w:customStyle="1" w:styleId="12">
    <w:name w:val="font2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color w:val="333333"/>
      <w:sz w:val="24"/>
      <w:szCs w:val="24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333333"/>
      <w:sz w:val="24"/>
      <w:szCs w:val="24"/>
      <w:u w:val="none"/>
    </w:rPr>
  </w:style>
  <w:style w:type="paragraph" w:customStyle="1" w:styleId="15">
    <w:name w:val="样式1"/>
    <w:basedOn w:val="11"/>
    <w:next w:val="5"/>
    <w:qFormat/>
    <w:uiPriority w:val="0"/>
    <w:rPr>
      <w:rFonts w:eastAsia="微软雅黑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10530</Words>
  <Characters>12533</Characters>
  <Lines>0</Lines>
  <Paragraphs>0</Paragraphs>
  <ScaleCrop>false</ScaleCrop>
  <LinksUpToDate>false</LinksUpToDate>
  <CharactersWithSpaces>12621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</cp:lastModifiedBy>
  <dcterms:modified xsi:type="dcterms:W3CDTF">2017-10-11T09:14:19Z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