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SkyeBlog Command</w:t>
      </w:r>
    </w:p>
    <w:p>
      <w:r>
        <w:rPr>
          <w:i/>
        </w:rPr>
        <w:t>Launch article tied to canonical author package</w:t>
      </w:r>
    </w:p>
    <w:p>
      <w:r>
        <w:rPr>
          <w:b/>
        </w:rPr>
        <w:t xml:space="preserve">Author: </w:t>
      </w:r>
      <w:r>
        <w:t>Skyes Over London</w:t>
      </w:r>
      <w:r>
        <w:rPr>
          <w:b/>
        </w:rPr>
        <w:t xml:space="preserve">    Imprint: </w:t>
      </w:r>
      <w:r>
        <w:t>SkyeBlog</w:t>
      </w:r>
    </w:p>
    <w:p/>
    <w:p>
      <w:r>
        <w:t>The Author Stack Needs a Sovereign Command Layer</w:t>
      </w:r>
    </w:p>
    <w:p/>
    <w:p>
      <w:r>
        <w:t>Independent publishing is strongest when the author owns the master release lane instead of renting the truth from outside portals.</w:t>
      </w:r>
    </w:p>
    <w:p/>
    <w:p>
      <w:r>
        <w:t>What changes</w:t>
      </w:r>
    </w:p>
    <w:p>
      <w:r>
        <w:t>SuperIDEv2 now carries a SkyeDocx Pro manufacturing path and a SkyeBlog editorial path in the same workspace.</w:t>
      </w:r>
    </w:p>
    <w:p/>
    <w:p>
      <w:r>
        <w:t>Why that matters</w:t>
      </w:r>
    </w:p>
    <w:p>
      <w:r>
        <w:t>One command surface can now prepare manuscript structure, launch editorial, direct-sale framing, and outward export evidence in one sequence.</w:t>
      </w:r>
    </w:p>
    <w:p/>
    <w:p>
      <w:r>
        <w:t>Release promise</w:t>
      </w:r>
    </w:p>
    <w:p>
      <w:r>
        <w:t>The direct-sale lane goes live first. External channels become deploy targets instead of the source of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