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247A"/>
          <w:sz w:val="44"/>
        </w:rPr>
        <w:t>Push Beyond Directive</w:t>
      </w:r>
    </w:p>
    <w:p>
      <w:pPr>
        <w:jc w:val="center"/>
      </w:pPr>
      <w:r>
        <w:rPr>
          <w:i/>
          <w:color w:val="5A5A5A"/>
          <w:sz w:val="22"/>
        </w:rPr>
        <w:t>Stage 6 · PB-7 Implemented · Final Parity-Plus Gate Closed</w:t>
      </w:r>
    </w:p>
    <w:p>
      <w:pPr>
        <w:jc w:val="center"/>
      </w:pPr>
      <w:r>
        <w:rPr>
          <w:b/>
          <w:color w:val="006135"/>
          <w:sz w:val="24"/>
        </w:rPr>
        <w:t>Directive completion status: 7 of 7 lanes complete · 0 directive lanes remaining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0FB"/>
          </w:tcPr>
          <w:p>
            <w:pPr>
              <w:spacing w:after="0"/>
            </w:pPr>
            <w:r/>
            <w:r>
              <w:rPr>
                <w:b/>
                <w:color w:val="46247A"/>
                <w:sz w:val="22"/>
              </w:rPr>
              <w:t>What this pass proves</w:t>
              <w:br/>
            </w:r>
            <w:r>
              <w:rPr>
                <w:sz w:val="21"/>
              </w:rPr>
              <w:t>PB-7 is now a real codebase implementation, not a planning note.</w:t>
              <w:br/>
            </w:r>
            <w:r>
              <w:rPr>
                <w:sz w:val="21"/>
              </w:rPr>
              <w:t>The final parity-plus gate reruns sections 15 through 19 in one execution and refuses a green completion claim unless they all pass together.</w:t>
              <w:br/>
            </w:r>
            <w:r>
              <w:rPr>
                <w:sz w:val="21"/>
              </w:rPr>
              <w:t>The gate also reconfirms donor convergence truth, control-plane summary truth, and public status truth after the final run.</w:t>
              <w:br/>
            </w:r>
          </w:p>
        </w:tc>
      </w:tr>
    </w:tbl>
    <w:p>
      <w:r>
        <w:rPr>
          <w:b/>
          <w:color w:val="46247A"/>
          <w:sz w:val="28"/>
        </w:rPr>
        <w:t>Directive board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4624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Lane</w:t>
            </w:r>
          </w:p>
        </w:tc>
        <w:tc>
          <w:tcPr>
            <w:tcW w:type="dxa" w:w="2484"/>
            <w:shd w:fill="4624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484"/>
            <w:shd w:fill="4624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84"/>
            <w:shd w:fill="4624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Completion basis</w:t>
            </w:r>
          </w:p>
        </w:tc>
      </w:tr>
      <w:tr>
        <w:tc>
          <w:tcPr>
            <w:tcW w:type="dxa" w:w="2484"/>
          </w:tcPr>
          <w:p>
            <w:pPr>
              <w:spacing w:after="40"/>
              <w:jc w:val="center"/>
            </w:pPr>
            <w:r>
              <w:t>PB-1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SkyDexia donor convergence</w:t>
            </w:r>
          </w:p>
        </w:tc>
        <w:tc>
          <w:tcPr>
            <w:tcW w:type="dxa" w:w="2484"/>
            <w:shd w:fill="E9F6EE"/>
          </w:tcPr>
          <w:p>
            <w:pPr>
              <w:spacing w:after="40"/>
              <w:jc w:val="center"/>
            </w:pPr>
            <w:r>
              <w:t>Complete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Converged donor-backed GitHub/release state and surfaced it through the canonical control plane.</w:t>
            </w:r>
          </w:p>
        </w:tc>
      </w:tr>
      <w:tr>
        <w:tc>
          <w:tcPr>
            <w:tcW w:type="dxa" w:w="2484"/>
          </w:tcPr>
          <w:p>
            <w:pPr>
              <w:spacing w:after="40"/>
              <w:jc w:val="center"/>
            </w:pPr>
            <w:r>
              <w:t>PB-2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PR loop and review workflow</w:t>
            </w:r>
          </w:p>
        </w:tc>
        <w:tc>
          <w:tcPr>
            <w:tcW w:type="dxa" w:w="2484"/>
            <w:shd w:fill="E9F6EE"/>
          </w:tcPr>
          <w:p>
            <w:pPr>
              <w:spacing w:after="40"/>
              <w:jc w:val="center"/>
            </w:pPr>
            <w:r>
              <w:t>Complete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Implemented PR creation, review request, comment/review flow, merge policy, and merge execution.</w:t>
            </w:r>
          </w:p>
        </w:tc>
      </w:tr>
      <w:tr>
        <w:tc>
          <w:tcPr>
            <w:tcW w:type="dxa" w:w="2484"/>
          </w:tcPr>
          <w:p>
            <w:pPr>
              <w:spacing w:after="40"/>
              <w:jc w:val="center"/>
            </w:pPr>
            <w:r>
              <w:t>PB-3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Collaboration and presence</w:t>
            </w:r>
          </w:p>
        </w:tc>
        <w:tc>
          <w:tcPr>
            <w:tcW w:type="dxa" w:w="2484"/>
            <w:shd w:fill="E9F6EE"/>
          </w:tcPr>
          <w:p>
            <w:pPr>
              <w:spacing w:after="40"/>
              <w:jc w:val="center"/>
            </w:pPr>
            <w:r>
              <w:t>Complete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Implemented multi-operator presence, courtesy claims, notes, and conflict-aware mutation recording.</w:t>
            </w:r>
          </w:p>
        </w:tc>
      </w:tr>
      <w:tr>
        <w:tc>
          <w:tcPr>
            <w:tcW w:type="dxa" w:w="2484"/>
          </w:tcPr>
          <w:p>
            <w:pPr>
              <w:spacing w:after="40"/>
              <w:jc w:val="center"/>
            </w:pPr>
            <w:r>
              <w:t>PB-4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Machine profiles and fleet controls</w:t>
            </w:r>
          </w:p>
        </w:tc>
        <w:tc>
          <w:tcPr>
            <w:tcW w:type="dxa" w:w="2484"/>
            <w:shd w:fill="E9F6EE"/>
          </w:tcPr>
          <w:p>
            <w:pPr>
              <w:spacing w:after="40"/>
              <w:jc w:val="center"/>
            </w:pPr>
            <w:r>
              <w:t>Complete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Implemented machine-profile registration, pool policy, assignment, drain state, and release flows.</w:t>
            </w:r>
          </w:p>
        </w:tc>
      </w:tr>
      <w:tr>
        <w:tc>
          <w:tcPr>
            <w:tcW w:type="dxa" w:w="2484"/>
          </w:tcPr>
          <w:p>
            <w:pPr>
              <w:spacing w:after="40"/>
              <w:jc w:val="center"/>
            </w:pPr>
            <w:r>
              <w:t>PB-5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Prebuild and warm-start lane</w:t>
            </w:r>
          </w:p>
        </w:tc>
        <w:tc>
          <w:tcPr>
            <w:tcW w:type="dxa" w:w="2484"/>
            <w:shd w:fill="E9F6EE"/>
          </w:tcPr>
          <w:p>
            <w:pPr>
              <w:spacing w:after="40"/>
              <w:jc w:val="center"/>
            </w:pPr>
            <w:r>
              <w:t>Complete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Implemented prebuild templates, workspace preferences, brokered jobs, replay, hydration, and artifact status.</w:t>
            </w:r>
          </w:p>
        </w:tc>
      </w:tr>
      <w:tr>
        <w:tc>
          <w:tcPr>
            <w:tcW w:type="dxa" w:w="2484"/>
          </w:tcPr>
          <w:p>
            <w:pPr>
              <w:spacing w:after="40"/>
              <w:jc w:val="center"/>
            </w:pPr>
            <w:r>
              <w:t>PB-6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Parity-plus governance plane</w:t>
            </w:r>
          </w:p>
        </w:tc>
        <w:tc>
          <w:tcPr>
            <w:tcW w:type="dxa" w:w="2484"/>
            <w:shd w:fill="E9F6EE"/>
          </w:tcPr>
          <w:p>
            <w:pPr>
              <w:spacing w:after="40"/>
              <w:jc w:val="center"/>
            </w:pPr>
            <w:r>
              <w:t>Complete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Implemented tenant policy, secret brokerage, governed release replay, budget controls, and governance audit surfaces.</w:t>
            </w:r>
          </w:p>
        </w:tc>
      </w:tr>
      <w:tr>
        <w:tc>
          <w:tcPr>
            <w:tcW w:type="dxa" w:w="2484"/>
          </w:tcPr>
          <w:p>
            <w:pPr>
              <w:spacing w:after="40"/>
              <w:jc w:val="center"/>
            </w:pPr>
            <w:r>
              <w:t>PB-7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Final parity-plus proof gate</w:t>
            </w:r>
          </w:p>
        </w:tc>
        <w:tc>
          <w:tcPr>
            <w:tcW w:type="dxa" w:w="2484"/>
            <w:shd w:fill="E9F6EE"/>
          </w:tcPr>
          <w:p>
            <w:pPr>
              <w:spacing w:after="40"/>
              <w:jc w:val="center"/>
            </w:pPr>
            <w:r>
              <w:t>Complete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t>Implemented the final proof lane that reruns sections 15–19 together and only marks completion when the combined gate is green.</w:t>
            </w:r>
          </w:p>
        </w:tc>
      </w:tr>
    </w:tbl>
    <w:p>
      <w:r>
        <w:rPr>
          <w:b/>
          <w:color w:val="46247A"/>
          <w:sz w:val="28"/>
        </w:rPr>
        <w:t>How far from completion we are</w:t>
      </w:r>
    </w:p>
    <w:p>
      <w:pPr>
        <w:spacing w:after="80"/>
      </w:pPr>
      <w:r>
        <w:t>According to the current Push Beyond directive board, we are at full directive completion.</w:t>
      </w:r>
    </w:p>
    <w:p>
      <w:pPr>
        <w:spacing w:after="80"/>
      </w:pPr>
      <w:r>
        <w:t>Remaining directive lanes: 0.</w:t>
      </w:r>
    </w:p>
    <w:p>
      <w:pPr>
        <w:spacing w:after="80"/>
      </w:pPr>
      <w:r>
        <w:t>Remaining implementation status for the board itself: none.</w:t>
      </w:r>
    </w:p>
    <w:p>
      <w:pPr>
        <w:spacing w:after="80"/>
      </w:pPr>
      <w:r>
        <w:t>What can still happen after this is additional hardening, polish, expansion, or new parity-plus objectives — but those would be new work beyond the current directive, not unfinished items on the present board.</w:t>
      </w:r>
    </w:p>
    <w:p>
      <w:r>
        <w:rPr>
          <w:b/>
          <w:color w:val="46247A"/>
          <w:sz w:val="28"/>
        </w:rPr>
        <w:t>Final gate summary</w:t>
      </w:r>
    </w:p>
    <w:p>
      <w:pPr>
        <w:ind w:left="288"/>
      </w:pPr>
      <w:r>
        <w:rPr>
          <w:sz w:val="21"/>
        </w:rPr>
        <w:t>• Section 15 rerun: PR loop and review workflow green.</w:t>
      </w:r>
    </w:p>
    <w:p>
      <w:pPr>
        <w:ind w:left="288"/>
      </w:pPr>
      <w:r>
        <w:rPr>
          <w:sz w:val="21"/>
        </w:rPr>
        <w:t>• Section 16 rerun: collaboration and presence green.</w:t>
      </w:r>
    </w:p>
    <w:p>
      <w:pPr>
        <w:ind w:left="288"/>
      </w:pPr>
      <w:r>
        <w:rPr>
          <w:sz w:val="21"/>
        </w:rPr>
        <w:t>• Section 17 rerun: machine profiles and fleet controls green.</w:t>
      </w:r>
    </w:p>
    <w:p>
      <w:pPr>
        <w:ind w:left="288"/>
      </w:pPr>
      <w:r>
        <w:rPr>
          <w:sz w:val="21"/>
        </w:rPr>
        <w:t>• Section 18 rerun: prebuild brokerage green.</w:t>
      </w:r>
    </w:p>
    <w:p>
      <w:pPr>
        <w:ind w:left="288"/>
      </w:pPr>
      <w:r>
        <w:rPr>
          <w:sz w:val="21"/>
        </w:rPr>
        <w:t>• Section 19 rerun: parity-plus governance green.</w:t>
      </w:r>
    </w:p>
    <w:p>
      <w:pPr>
        <w:ind w:left="288"/>
      </w:pPr>
      <w:r>
        <w:rPr>
          <w:sz w:val="21"/>
        </w:rPr>
        <w:t>• Section 20: final parity-plus gate green.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8"/>
      </w:rPr>
      <w:t>Skyes Over London · SkyeHands Push Beyond Directive · Stage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