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rPr>
          <w:sz w:val="21"/>
        </w:rPr>
        <w:t>☐ Stage 11 proof exists</w:t>
      </w:r>
    </w:p>
    <w:p>
      <w:pPr>
        <w:pStyle w:val="ListBullet"/>
        <w:spacing w:after="20"/>
      </w:pPr>
      <w:r>
        <w:rPr>
          <w:sz w:val="21"/>
        </w:rPr>
        <w:t>☐ Public-facing investor/procurement packet exists</w:t>
      </w:r>
    </w:p>
    <w:p>
      <w:pPr>
        <w:pStyle w:val="ListBullet"/>
        <w:spacing w:after="20"/>
      </w:pPr>
      <w:r>
        <w:rPr>
          <w:sz w:val="21"/>
        </w:rP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rPr>
          <w:sz w:val="21"/>
        </w:rP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