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rPr>
          <w:sz w:val="21"/>
        </w:rPr>
        <w:t>☐ Stage 11 proof exists</w:t>
      </w:r>
    </w:p>
    <w:p>
      <w:pPr>
        <w:pStyle w:val="ListBullet"/>
        <w:spacing w:after="20"/>
      </w:pPr>
      <w:r>
        <w:rPr>
          <w:sz w:val="21"/>
        </w:rP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rPr>
          <w:sz w:val="21"/>
        </w:rP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Stage 10 + Stage 11 proof artifacts</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