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rPr>
          <w:b/>
          <w:color w:val="008000"/>
        </w:rPr>
        <w:t>☑ One canonical runtime path</w:t>
      </w:r>
    </w:p>
    <w:p>
      <w:pPr>
        <w:pStyle w:val="ListBullet"/>
        <w:spacing w:after="20"/>
      </w:pPr>
      <w:r>
        <w:rPr>
          <w:color w:val="008000"/>
          <w:sz w:val="21"/>
        </w:rPr>
        <w:t>☑ One-command cold-machine bootstrap passes</w:t>
      </w:r>
    </w:p>
    <w:p>
      <w:pPr>
        <w:pStyle w:val="ListBullet"/>
        <w:spacing w:after="20"/>
      </w:pPr>
      <w:r>
        <w:rPr>
          <w:color w:val="008000"/>
          <w:sz w:val="21"/>
        </w:rPr>
        <w:t>☑ Doctor passes cleanly in deploy mode</w:t>
      </w:r>
    </w:p>
    <w:p>
      <w:pPr>
        <w:pStyle w:val="ListBullet"/>
        <w:spacing w:after="20"/>
      </w:pPr>
      <w:r>
        <w:rPr>
          <w:color w:val="008000"/>
          <w:sz w:val="21"/>
        </w:rPr>
        <w:t>☑ Remote executor is default canonical runtime</w:t>
      </w:r>
    </w:p>
    <w:p>
      <w:pPr>
        <w:pStyle w:val="ListBullet"/>
        <w:spacing w:after="20"/>
      </w:pPr>
      <w:r>
        <w:rPr>
          <w:b/>
          <w:color w:val="008000"/>
        </w:rPr>
        <w:t>☑ Sessions restore correctly after restart</w:t>
      </w:r>
    </w:p>
    <w:p>
      <w:pPr>
        <w:pStyle w:val="ListBullet"/>
        <w:spacing w:after="20"/>
      </w:pPr>
      <w:r>
        <w:rPr>
          <w:sz w:val="21"/>
        </w:rPr>
        <w:t>☐ Snapshots restore correctly after restart</w:t>
      </w:r>
    </w:p>
    <w:p>
      <w:pPr>
        <w:pStyle w:val="ListBullet"/>
        <w:spacing w:after="20"/>
      </w:pPr>
      <w:r>
        <w:rPr>
          <w:sz w:val="21"/>
        </w:rPr>
        <w:t>☐ Preview forwarding passes from canonical path</w:t>
      </w:r>
    </w:p>
    <w:p>
      <w:pPr>
        <w:pStyle w:val="ListBullet"/>
        <w:spacing w:after="20"/>
      </w:pPr>
      <w:r>
        <w:rPr>
          <w:b/>
          <w:color w:val="008000"/>
        </w:rPr>
        <w:t>☑ Deployment readiness proof passes from canonical path</w:t>
      </w:r>
    </w:p>
    <w:p>
      <w:pPr>
        <w:pStyle w:val="ListBullet"/>
        <w:spacing w:after="20"/>
      </w:pPr>
      <w:r>
        <w:rPr>
          <w:color w:val="008000"/>
          <w:sz w:val="21"/>
        </w:rPr>
        <w:t>☑ Stage 10 proof exists</w:t>
      </w:r>
    </w:p>
    <w:p>
      <w:pPr>
        <w:pStyle w:val="ListBullet"/>
        <w:spacing w:after="20"/>
      </w:pPr>
      <w:r>
        <w:rPr>
          <w:sz w:val="21"/>
        </w:rPr>
        <w:t>☐ Stage 11 proof exists</w:t>
      </w:r>
    </w:p>
    <w:p>
      <w:pPr>
        <w:pStyle w:val="ListBullet"/>
        <w:spacing w:after="20"/>
      </w:pPr>
      <w:r>
        <w:rPr>
          <w:sz w:val="21"/>
        </w:rPr>
        <w:t>☐ Public-facing investor/procurement packet exists</w:t>
      </w:r>
    </w:p>
    <w:p>
      <w:pPr>
        <w:pStyle w:val="ListBullet"/>
        <w:spacing w:after="20"/>
      </w:pPr>
      <w:r>
        <w:rPr>
          <w:sz w:val="21"/>
        </w:rPr>
        <w:t>☐ ZIP/package naming matches actual proof state</w:t>
      </w:r>
    </w:p>
    <w:p>
      <w:pPr>
        <w:pStyle w:val="ListBullet"/>
        <w:spacing w:after="20"/>
      </w:pPr>
      <w:r>
        <w:rPr>
          <w:b/>
          <w:color w:val="008000"/>
        </w:rP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rPr>
          <w:sz w:val="21"/>
        </w:rP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Stage 10 + Stage 11 proof artifacts</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