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97134" w14:textId="36A76C60" w:rsidR="00233800" w:rsidRPr="00FA7D4E" w:rsidRDefault="00FA7D4E">
      <w:pPr>
        <w:rPr>
          <w:u w:val="single"/>
          <w:lang w:val="en-US"/>
        </w:rPr>
      </w:pPr>
      <w:r w:rsidRPr="00FA7D4E">
        <w:rPr>
          <w:u w:val="single"/>
          <w:lang w:val="en-US"/>
        </w:rPr>
        <w:t>Tax Treaties – Outline</w:t>
      </w:r>
    </w:p>
    <w:p w14:paraId="1FD20F32" w14:textId="4FF56DB3" w:rsidR="00FA7D4E" w:rsidRPr="00FA7D4E" w:rsidRDefault="00FA7D4E">
      <w:pPr>
        <w:rPr>
          <w:lang w:val="en-US"/>
        </w:rPr>
      </w:pPr>
    </w:p>
    <w:p w14:paraId="157E492B" w14:textId="6199AC0B" w:rsidR="00FA7D4E" w:rsidRDefault="00FA7D4E" w:rsidP="00FA7D4E">
      <w:pPr>
        <w:jc w:val="both"/>
        <w:rPr>
          <w:lang w:val="en-US"/>
        </w:rPr>
      </w:pPr>
      <w:r w:rsidRPr="00FA7D4E">
        <w:rPr>
          <w:lang w:val="en-US"/>
        </w:rPr>
        <w:t xml:space="preserve">The role of the </w:t>
      </w:r>
      <w:r w:rsidRPr="00FA7D4E">
        <w:rPr>
          <w:u w:val="single"/>
          <w:lang w:val="en-US"/>
        </w:rPr>
        <w:t>permanent establishment provision</w:t>
      </w:r>
      <w:r w:rsidRPr="00FA7D4E">
        <w:rPr>
          <w:lang w:val="en-US"/>
        </w:rPr>
        <w:t xml:space="preserve"> in a treaty (including US treaties) is to establish a threshold level of presence in the source country below which nonresidents should not be taxed at source.</w:t>
      </w:r>
      <w:r>
        <w:rPr>
          <w:lang w:val="en-US"/>
        </w:rPr>
        <w:t xml:space="preserve"> B</w:t>
      </w:r>
      <w:r w:rsidRPr="00FA7D4E">
        <w:rPr>
          <w:lang w:val="en-US"/>
        </w:rPr>
        <w:t>y agreeing to a permanent establishment provision in a treaty, a country is surrendering its source taxing rights to the extent taxpayer activity falls below that threshold</w:t>
      </w:r>
      <w:r>
        <w:rPr>
          <w:lang w:val="en-US"/>
        </w:rPr>
        <w:t>.</w:t>
      </w:r>
    </w:p>
    <w:p w14:paraId="5F6A14A3" w14:textId="03A6879C" w:rsidR="00FA7D4E" w:rsidRDefault="00FA7D4E" w:rsidP="00FA7D4E">
      <w:pPr>
        <w:jc w:val="both"/>
        <w:rPr>
          <w:lang w:val="en-US"/>
        </w:rPr>
      </w:pPr>
    </w:p>
    <w:p w14:paraId="05A08C93" w14:textId="77777777" w:rsidR="00FA7D4E" w:rsidRDefault="00FA7D4E" w:rsidP="00FA7D4E">
      <w:pPr>
        <w:jc w:val="both"/>
        <w:rPr>
          <w:lang w:val="en-US"/>
        </w:rPr>
      </w:pPr>
      <w:r w:rsidRPr="00FA7D4E">
        <w:rPr>
          <w:lang w:val="en-US"/>
        </w:rPr>
        <w:t xml:space="preserve">Under Article VI, Clause 2 of the US Constitution, </w:t>
      </w:r>
      <w:r w:rsidRPr="00FA7D4E">
        <w:rPr>
          <w:u w:val="single"/>
          <w:lang w:val="en-US"/>
        </w:rPr>
        <w:t xml:space="preserve">international </w:t>
      </w:r>
      <w:proofErr w:type="gramStart"/>
      <w:r w:rsidRPr="00FA7D4E">
        <w:rPr>
          <w:u w:val="single"/>
          <w:lang w:val="en-US"/>
        </w:rPr>
        <w:t>treaties</w:t>
      </w:r>
      <w:proofErr w:type="gramEnd"/>
      <w:r w:rsidRPr="00FA7D4E">
        <w:rPr>
          <w:u w:val="single"/>
          <w:lang w:val="en-US"/>
        </w:rPr>
        <w:t xml:space="preserve"> and legislative enactments are of equal force.</w:t>
      </w:r>
      <w:r w:rsidRPr="00FA7D4E">
        <w:rPr>
          <w:lang w:val="en-US"/>
        </w:rPr>
        <w:t xml:space="preserve"> As a result, where treaties and legislative provisions conflict, the </w:t>
      </w:r>
      <w:r w:rsidRPr="00FA7D4E">
        <w:rPr>
          <w:u w:val="single"/>
          <w:lang w:val="en-US"/>
        </w:rPr>
        <w:t>later in time prevails</w:t>
      </w:r>
      <w:r w:rsidRPr="00FA7D4E">
        <w:rPr>
          <w:lang w:val="en-US"/>
        </w:rPr>
        <w:t>.</w:t>
      </w:r>
      <w:r>
        <w:rPr>
          <w:lang w:val="en-US"/>
        </w:rPr>
        <w:t xml:space="preserve"> However, later legislation must have a clear intention to abrogate or modify a treaty if that is the intention. </w:t>
      </w:r>
    </w:p>
    <w:p w14:paraId="03EC11C3" w14:textId="77777777" w:rsidR="00FA7D4E" w:rsidRDefault="00FA7D4E" w:rsidP="00FA7D4E">
      <w:pPr>
        <w:jc w:val="both"/>
        <w:rPr>
          <w:lang w:val="en-US"/>
        </w:rPr>
      </w:pPr>
    </w:p>
    <w:p w14:paraId="790FC659" w14:textId="77777777" w:rsidR="00FA7D4E" w:rsidRDefault="00FA7D4E" w:rsidP="00FA7D4E">
      <w:pPr>
        <w:jc w:val="both"/>
        <w:rPr>
          <w:lang w:val="en-US"/>
        </w:rPr>
      </w:pPr>
      <w:r w:rsidRPr="00FA7D4E">
        <w:rPr>
          <w:lang w:val="en-US"/>
        </w:rPr>
        <w:t>Section 7852(d)(1): “For purposes of determining the relationship between a provision of a treaty and any law of the US affecting revenue, neither the treaty nor the law shall have preferential status by reason of its being a treaty or law.”</w:t>
      </w:r>
    </w:p>
    <w:p w14:paraId="4535B97D" w14:textId="77777777" w:rsidR="00FA7D4E" w:rsidRDefault="00FA7D4E" w:rsidP="00FA7D4E">
      <w:pPr>
        <w:jc w:val="both"/>
        <w:rPr>
          <w:lang w:val="en-US"/>
        </w:rPr>
      </w:pPr>
    </w:p>
    <w:p w14:paraId="26AD2FB5" w14:textId="13769391" w:rsidR="00FA7D4E" w:rsidRDefault="00FA7D4E" w:rsidP="00FA7D4E">
      <w:pPr>
        <w:jc w:val="both"/>
        <w:rPr>
          <w:lang w:val="en-US"/>
        </w:rPr>
      </w:pPr>
      <w:r w:rsidRPr="00FA7D4E">
        <w:rPr>
          <w:u w:val="single"/>
          <w:lang w:val="en-US"/>
        </w:rPr>
        <w:t>Residence</w:t>
      </w:r>
      <w:r w:rsidRPr="00FA7D4E">
        <w:rPr>
          <w:lang w:val="en-US"/>
        </w:rPr>
        <w:t xml:space="preserve"> is typically defined in terms of a person or entity being liable to taxation </w:t>
      </w:r>
      <w:r w:rsidRPr="00FA7D4E">
        <w:rPr>
          <w:lang w:val="en-US"/>
        </w:rPr>
        <w:t>based on</w:t>
      </w:r>
      <w:r w:rsidRPr="00FA7D4E">
        <w:rPr>
          <w:lang w:val="en-US"/>
        </w:rPr>
        <w:t xml:space="preserve"> a personal connection with the taxing jurisdiction</w:t>
      </w:r>
      <w:r>
        <w:rPr>
          <w:lang w:val="en-US"/>
        </w:rPr>
        <w:t xml:space="preserve">. </w:t>
      </w:r>
      <w:r w:rsidRPr="00FA7D4E">
        <w:rPr>
          <w:lang w:val="en-US"/>
        </w:rPr>
        <w:t xml:space="preserve">In the absence of a special definition, reference is initially made to the </w:t>
      </w:r>
      <w:r w:rsidRPr="00FA7D4E">
        <w:rPr>
          <w:u w:val="single"/>
          <w:lang w:val="en-US"/>
        </w:rPr>
        <w:t>law of the country involved</w:t>
      </w:r>
      <w:r w:rsidRPr="00FA7D4E">
        <w:rPr>
          <w:lang w:val="en-US"/>
        </w:rPr>
        <w:t xml:space="preserve"> to determine whether the </w:t>
      </w:r>
      <w:proofErr w:type="gramStart"/>
      <w:r w:rsidRPr="00FA7D4E">
        <w:rPr>
          <w:lang w:val="en-US"/>
        </w:rPr>
        <w:t>particular individual</w:t>
      </w:r>
      <w:proofErr w:type="gramEnd"/>
      <w:r w:rsidRPr="00FA7D4E">
        <w:rPr>
          <w:lang w:val="en-US"/>
        </w:rPr>
        <w:t xml:space="preserve"> or organization claiming treaty benefits qualifies as a resident</w:t>
      </w:r>
      <w:r>
        <w:rPr>
          <w:lang w:val="en-US"/>
        </w:rPr>
        <w:t xml:space="preserve">. </w:t>
      </w:r>
    </w:p>
    <w:p w14:paraId="0E19F9C8" w14:textId="1590391D" w:rsidR="00FA7D4E" w:rsidRDefault="00FA7D4E" w:rsidP="00FA7D4E">
      <w:pPr>
        <w:jc w:val="both"/>
        <w:rPr>
          <w:lang w:val="en-US"/>
        </w:rPr>
      </w:pPr>
    </w:p>
    <w:p w14:paraId="58EBBDA3" w14:textId="23692A07" w:rsidR="00FA7D4E" w:rsidRDefault="00FA7D4E" w:rsidP="00FA7D4E">
      <w:pPr>
        <w:jc w:val="both"/>
        <w:rPr>
          <w:lang w:val="en-US"/>
        </w:rPr>
      </w:pPr>
      <w:r w:rsidRPr="00FA7D4E">
        <w:rPr>
          <w:i/>
          <w:iCs/>
          <w:u w:val="single"/>
          <w:lang w:val="en-US"/>
        </w:rPr>
        <w:t>Tie breaker</w:t>
      </w:r>
      <w:r w:rsidRPr="00FA7D4E">
        <w:rPr>
          <w:u w:val="single"/>
          <w:lang w:val="en-US"/>
        </w:rPr>
        <w:t xml:space="preserve"> rule</w:t>
      </w:r>
      <w:r>
        <w:rPr>
          <w:lang w:val="en-US"/>
        </w:rPr>
        <w:t>: US Model, Art 4. - E</w:t>
      </w:r>
      <w:r w:rsidRPr="00FA7D4E">
        <w:rPr>
          <w:lang w:val="en-US"/>
        </w:rPr>
        <w:t>stablishes a single residence for treaty purposes if, under the definitional article, the taxpayer would be a resident of both countries</w:t>
      </w:r>
      <w:r>
        <w:rPr>
          <w:lang w:val="en-US"/>
        </w:rPr>
        <w:t>.</w:t>
      </w:r>
    </w:p>
    <w:p w14:paraId="147E0A0A" w14:textId="4253DDA7" w:rsidR="00FA7D4E" w:rsidRDefault="00FA7D4E" w:rsidP="00FA7D4E">
      <w:pPr>
        <w:jc w:val="both"/>
        <w:rPr>
          <w:lang w:val="en-US"/>
        </w:rPr>
      </w:pPr>
    </w:p>
    <w:p w14:paraId="266B161A" w14:textId="267B54FF" w:rsidR="00FA7D4E" w:rsidRDefault="00FA7D4E" w:rsidP="00FA7D4E">
      <w:pPr>
        <w:jc w:val="both"/>
        <w:rPr>
          <w:lang w:val="en-US"/>
        </w:rPr>
      </w:pPr>
      <w:r>
        <w:rPr>
          <w:lang w:val="en-US"/>
        </w:rPr>
        <w:t xml:space="preserve">For Corporations: </w:t>
      </w:r>
      <w:r w:rsidRPr="00FA7D4E">
        <w:rPr>
          <w:lang w:val="en-US"/>
        </w:rPr>
        <w:t xml:space="preserve">The 2016 US Model Treaty provides that if a company is considered resident in both treaty partner jurisdictions (dual resident corporations), then it will not be “treated as a resident of either ... for purposes of </w:t>
      </w:r>
      <w:proofErr w:type="gramStart"/>
      <w:r w:rsidRPr="00FA7D4E">
        <w:rPr>
          <w:lang w:val="en-US"/>
        </w:rPr>
        <w:t>its</w:t>
      </w:r>
      <w:proofErr w:type="gramEnd"/>
      <w:r w:rsidRPr="00FA7D4E">
        <w:rPr>
          <w:lang w:val="en-US"/>
        </w:rPr>
        <w:t xml:space="preserve"> claiming the benefits” of the treaty</w:t>
      </w:r>
      <w:r>
        <w:rPr>
          <w:lang w:val="en-US"/>
        </w:rPr>
        <w:t xml:space="preserve"> – US Model, Art. 4.4.</w:t>
      </w:r>
    </w:p>
    <w:p w14:paraId="64787CA6" w14:textId="7D52C71D" w:rsidR="00FA7D4E" w:rsidRDefault="00FA7D4E" w:rsidP="00FA7D4E">
      <w:pPr>
        <w:jc w:val="both"/>
        <w:rPr>
          <w:lang w:val="en-US"/>
        </w:rPr>
      </w:pPr>
    </w:p>
    <w:p w14:paraId="6BADA96E" w14:textId="34387E9A" w:rsidR="00FA7D4E" w:rsidRDefault="00345D6A" w:rsidP="00FA7D4E">
      <w:pPr>
        <w:jc w:val="both"/>
        <w:rPr>
          <w:lang w:val="en-US"/>
        </w:rPr>
      </w:pPr>
      <w:r w:rsidRPr="00345D6A">
        <w:rPr>
          <w:u w:val="single"/>
          <w:lang w:val="en-US"/>
        </w:rPr>
        <w:t>Domestic reverse hybrids</w:t>
      </w:r>
      <w:r>
        <w:rPr>
          <w:lang w:val="en-US"/>
        </w:rPr>
        <w:t>: Entities that are not transparent for US tax purposes and are transparent in the residence country of the person holding interest.</w:t>
      </w:r>
    </w:p>
    <w:p w14:paraId="765DB967" w14:textId="49B4AA4D" w:rsidR="00345D6A" w:rsidRDefault="00345D6A" w:rsidP="00FA7D4E">
      <w:pPr>
        <w:jc w:val="both"/>
        <w:rPr>
          <w:lang w:val="en-US"/>
        </w:rPr>
      </w:pPr>
      <w:r>
        <w:rPr>
          <w:lang w:val="en-US"/>
        </w:rPr>
        <w:t>If an entity is NOT a DRH, i.e., transparent for US tax purposes, and the residence country of the foreign partner od es not asset taxing jurisdiction, US will not apply the reduced rate of the treaty.</w:t>
      </w:r>
    </w:p>
    <w:p w14:paraId="32F63194" w14:textId="29D8B9EF" w:rsidR="00345D6A" w:rsidRDefault="00345D6A" w:rsidP="00FA7D4E">
      <w:pPr>
        <w:jc w:val="both"/>
        <w:rPr>
          <w:lang w:val="en-US"/>
        </w:rPr>
      </w:pPr>
    </w:p>
    <w:p w14:paraId="7A61BE04" w14:textId="5609E58A" w:rsidR="00345D6A" w:rsidRDefault="00345D6A" w:rsidP="00FA7D4E">
      <w:pPr>
        <w:jc w:val="both"/>
        <w:rPr>
          <w:lang w:val="en-US"/>
        </w:rPr>
      </w:pPr>
      <w:r>
        <w:rPr>
          <w:lang w:val="en-US"/>
        </w:rPr>
        <w:t xml:space="preserve">DRH receiving payments: Regulations state </w:t>
      </w:r>
      <w:r w:rsidRPr="00345D6A">
        <w:rPr>
          <w:lang w:val="en-US"/>
        </w:rPr>
        <w:t>that a tax treaty cannot reduce the tax applied to such payments that are from a US source</w:t>
      </w:r>
      <w:r>
        <w:rPr>
          <w:lang w:val="en-US"/>
        </w:rPr>
        <w:t xml:space="preserve"> - </w:t>
      </w:r>
      <w:r w:rsidRPr="00345D6A">
        <w:rPr>
          <w:lang w:val="en-US"/>
        </w:rPr>
        <w:t>Treas.Reg.Sec.1.894-1(d)(2)(</w:t>
      </w:r>
      <w:proofErr w:type="spellStart"/>
      <w:r w:rsidRPr="00345D6A">
        <w:rPr>
          <w:lang w:val="en-US"/>
        </w:rPr>
        <w:t>i</w:t>
      </w:r>
      <w:proofErr w:type="spellEnd"/>
      <w:r w:rsidRPr="00345D6A">
        <w:rPr>
          <w:lang w:val="en-US"/>
        </w:rPr>
        <w:t>).</w:t>
      </w:r>
      <w:r>
        <w:rPr>
          <w:lang w:val="en-US"/>
        </w:rPr>
        <w:t xml:space="preserve"> </w:t>
      </w:r>
      <w:r w:rsidRPr="00345D6A">
        <w:rPr>
          <w:lang w:val="en-US"/>
        </w:rPr>
        <w:t>This</w:t>
      </w:r>
      <w:r>
        <w:rPr>
          <w:lang w:val="en-US"/>
        </w:rPr>
        <w:t xml:space="preserve"> </w:t>
      </w:r>
      <w:r w:rsidRPr="00345D6A">
        <w:rPr>
          <w:lang w:val="en-US"/>
        </w:rPr>
        <w:t>is</w:t>
      </w:r>
      <w:r>
        <w:rPr>
          <w:lang w:val="en-US"/>
        </w:rPr>
        <w:t xml:space="preserve"> </w:t>
      </w:r>
      <w:r w:rsidRPr="00345D6A">
        <w:rPr>
          <w:lang w:val="en-US"/>
        </w:rPr>
        <w:t>consistent</w:t>
      </w:r>
      <w:r>
        <w:rPr>
          <w:lang w:val="en-US"/>
        </w:rPr>
        <w:t xml:space="preserve"> </w:t>
      </w:r>
      <w:r w:rsidRPr="00345D6A">
        <w:rPr>
          <w:lang w:val="en-US"/>
        </w:rPr>
        <w:t>with</w:t>
      </w:r>
      <w:r>
        <w:rPr>
          <w:lang w:val="en-US"/>
        </w:rPr>
        <w:t xml:space="preserve"> </w:t>
      </w:r>
      <w:r w:rsidRPr="00345D6A">
        <w:rPr>
          <w:lang w:val="en-US"/>
        </w:rPr>
        <w:t>the</w:t>
      </w:r>
      <w:r>
        <w:rPr>
          <w:lang w:val="en-US"/>
        </w:rPr>
        <w:t xml:space="preserve"> </w:t>
      </w:r>
      <w:r w:rsidRPr="00345D6A">
        <w:rPr>
          <w:u w:val="single"/>
          <w:lang w:val="en-US"/>
        </w:rPr>
        <w:t>reservation</w:t>
      </w:r>
      <w:r w:rsidRPr="00345D6A">
        <w:rPr>
          <w:u w:val="single"/>
          <w:lang w:val="en-US"/>
        </w:rPr>
        <w:t xml:space="preserve"> </w:t>
      </w:r>
      <w:r w:rsidRPr="00345D6A">
        <w:rPr>
          <w:u w:val="single"/>
          <w:lang w:val="en-US"/>
        </w:rPr>
        <w:t>of</w:t>
      </w:r>
      <w:r w:rsidRPr="00345D6A">
        <w:rPr>
          <w:u w:val="single"/>
          <w:lang w:val="en-US"/>
        </w:rPr>
        <w:t xml:space="preserve"> </w:t>
      </w:r>
      <w:r w:rsidRPr="00345D6A">
        <w:rPr>
          <w:u w:val="single"/>
          <w:lang w:val="en-US"/>
        </w:rPr>
        <w:t>US</w:t>
      </w:r>
      <w:r w:rsidRPr="00345D6A">
        <w:rPr>
          <w:u w:val="single"/>
          <w:lang w:val="en-US"/>
        </w:rPr>
        <w:t xml:space="preserve"> </w:t>
      </w:r>
      <w:r w:rsidRPr="00345D6A">
        <w:rPr>
          <w:u w:val="single"/>
          <w:lang w:val="en-US"/>
        </w:rPr>
        <w:t>taxing</w:t>
      </w:r>
      <w:r w:rsidRPr="00345D6A">
        <w:rPr>
          <w:u w:val="single"/>
          <w:lang w:val="en-US"/>
        </w:rPr>
        <w:t xml:space="preserve"> </w:t>
      </w:r>
      <w:r w:rsidRPr="00345D6A">
        <w:rPr>
          <w:u w:val="single"/>
          <w:lang w:val="en-US"/>
        </w:rPr>
        <w:t>rights</w:t>
      </w:r>
      <w:r w:rsidRPr="00345D6A">
        <w:rPr>
          <w:u w:val="single"/>
          <w:lang w:val="en-US"/>
        </w:rPr>
        <w:t xml:space="preserve"> </w:t>
      </w:r>
      <w:r w:rsidRPr="00345D6A">
        <w:rPr>
          <w:u w:val="single"/>
          <w:lang w:val="en-US"/>
        </w:rPr>
        <w:t>with respect to US residents</w:t>
      </w:r>
      <w:r w:rsidRPr="00345D6A">
        <w:rPr>
          <w:lang w:val="en-US"/>
        </w:rPr>
        <w:t xml:space="preserve"> found in the </w:t>
      </w:r>
      <w:r w:rsidRPr="00345D6A">
        <w:rPr>
          <w:u w:val="single"/>
          <w:lang w:val="en-US"/>
        </w:rPr>
        <w:t>savings clause</w:t>
      </w:r>
      <w:r w:rsidRPr="00345D6A">
        <w:rPr>
          <w:lang w:val="en-US"/>
        </w:rPr>
        <w:t xml:space="preserve"> of US Model Art. 1(4)</w:t>
      </w:r>
      <w:r>
        <w:rPr>
          <w:lang w:val="en-US"/>
        </w:rPr>
        <w:t>.</w:t>
      </w:r>
    </w:p>
    <w:p w14:paraId="54B7B261" w14:textId="26430583" w:rsidR="00345D6A" w:rsidRDefault="00345D6A" w:rsidP="00FA7D4E">
      <w:pPr>
        <w:jc w:val="both"/>
        <w:rPr>
          <w:lang w:val="en-US"/>
        </w:rPr>
      </w:pPr>
    </w:p>
    <w:p w14:paraId="743736FF" w14:textId="4AB88FE2" w:rsidR="00345D6A" w:rsidRDefault="00345D6A" w:rsidP="00FA7D4E">
      <w:pPr>
        <w:jc w:val="both"/>
        <w:rPr>
          <w:lang w:val="en-US"/>
        </w:rPr>
      </w:pPr>
      <w:r>
        <w:rPr>
          <w:lang w:val="en-US"/>
        </w:rPr>
        <w:t xml:space="preserve">DRH making payments: Payment </w:t>
      </w:r>
      <w:r w:rsidRPr="00345D6A">
        <w:rPr>
          <w:lang w:val="en-US"/>
        </w:rPr>
        <w:t>will be characterized as a payment from a nontransparent US entity (such as a dividend or an interest payment from a corporation) for purposes of applying the treaty’s tax rates</w:t>
      </w:r>
      <w:r>
        <w:rPr>
          <w:lang w:val="en-US"/>
        </w:rPr>
        <w:t xml:space="preserve">. </w:t>
      </w:r>
      <w:r w:rsidRPr="00345D6A">
        <w:rPr>
          <w:lang w:val="en-US"/>
        </w:rPr>
        <w:t>Treas. Reg. Sec. 1.894-1(d)(2)(ii)</w:t>
      </w:r>
      <w:r>
        <w:rPr>
          <w:lang w:val="en-US"/>
        </w:rPr>
        <w:t>.</w:t>
      </w:r>
    </w:p>
    <w:p w14:paraId="2574B369" w14:textId="0913829D" w:rsidR="00345D6A" w:rsidRDefault="00345D6A" w:rsidP="00FA7D4E">
      <w:pPr>
        <w:jc w:val="both"/>
        <w:rPr>
          <w:lang w:val="en-US"/>
        </w:rPr>
      </w:pPr>
    </w:p>
    <w:p w14:paraId="4C866EBE" w14:textId="0C5F6B0F" w:rsidR="00345D6A" w:rsidRDefault="00345D6A" w:rsidP="00FA7D4E">
      <w:pPr>
        <w:jc w:val="both"/>
        <w:rPr>
          <w:lang w:val="en-US"/>
        </w:rPr>
      </w:pPr>
      <w:r>
        <w:rPr>
          <w:lang w:val="en-US"/>
        </w:rPr>
        <w:lastRenderedPageBreak/>
        <w:t>DRH paying to an interest holder: I</w:t>
      </w:r>
      <w:r w:rsidRPr="00345D6A">
        <w:rPr>
          <w:lang w:val="en-US"/>
        </w:rPr>
        <w:t>f the payment consists of amounts the hybrid received as a tax-free dividend from a subsidiary</w:t>
      </w:r>
      <w:r>
        <w:rPr>
          <w:lang w:val="en-US"/>
        </w:rPr>
        <w:t xml:space="preserve">, </w:t>
      </w:r>
      <w:r w:rsidRPr="00345D6A">
        <w:rPr>
          <w:lang w:val="en-US"/>
        </w:rPr>
        <w:t>the payment by the hybrid to an interest holder will be treated as a nondeductible dividend payment, regardless of whether it is in fact an interest payment</w:t>
      </w:r>
      <w:r>
        <w:rPr>
          <w:lang w:val="en-US"/>
        </w:rPr>
        <w:t xml:space="preserve"> - </w:t>
      </w:r>
      <w:r w:rsidRPr="00345D6A">
        <w:rPr>
          <w:lang w:val="en-US"/>
        </w:rPr>
        <w:t>Treas. Reg. Sec. 1.894-1(d)(2)(ii)(B)</w:t>
      </w:r>
      <w:r>
        <w:rPr>
          <w:lang w:val="en-US"/>
        </w:rPr>
        <w:t>.</w:t>
      </w:r>
    </w:p>
    <w:p w14:paraId="439ACA0F" w14:textId="2446705A" w:rsidR="00345D6A" w:rsidRDefault="00345D6A" w:rsidP="00FA7D4E">
      <w:pPr>
        <w:jc w:val="both"/>
        <w:rPr>
          <w:lang w:val="en-US"/>
        </w:rPr>
      </w:pPr>
    </w:p>
    <w:p w14:paraId="3D50EA70" w14:textId="51ECD6A7" w:rsidR="00345D6A" w:rsidRDefault="00345D6A" w:rsidP="00FA7D4E">
      <w:pPr>
        <w:jc w:val="both"/>
        <w:rPr>
          <w:lang w:val="en-US"/>
        </w:rPr>
      </w:pPr>
      <w:r>
        <w:rPr>
          <w:lang w:val="en-US"/>
        </w:rPr>
        <w:t xml:space="preserve">Hybrid entities (transparent in both jurisdictions): </w:t>
      </w:r>
      <w:r w:rsidRPr="00345D6A">
        <w:rPr>
          <w:lang w:val="en-US"/>
        </w:rPr>
        <w:t>In case of entities which are fiscally transparent in either jurisdiction, the treaty determines treaty residence (and hence entitlement to benefits) with reference to the person who, under the laws of the treaty partner, is required to include the item in question in income</w:t>
      </w:r>
      <w:r>
        <w:rPr>
          <w:lang w:val="en-US"/>
        </w:rPr>
        <w:t xml:space="preserve"> – Art. 1.6.</w:t>
      </w:r>
    </w:p>
    <w:p w14:paraId="05F3954B" w14:textId="6CB322CE" w:rsidR="00345D6A" w:rsidRDefault="00345D6A" w:rsidP="00FA7D4E">
      <w:pPr>
        <w:jc w:val="both"/>
        <w:rPr>
          <w:lang w:val="en-US"/>
        </w:rPr>
      </w:pPr>
    </w:p>
    <w:p w14:paraId="2F4B1A65" w14:textId="046D79DA" w:rsidR="00345D6A" w:rsidRDefault="00345D6A" w:rsidP="00FA7D4E">
      <w:pPr>
        <w:jc w:val="both"/>
        <w:rPr>
          <w:lang w:val="en-US"/>
        </w:rPr>
      </w:pPr>
      <w:r w:rsidRPr="00345D6A">
        <w:rPr>
          <w:u w:val="single"/>
          <w:lang w:val="en-US"/>
        </w:rPr>
        <w:t>Triangular scenarios PE</w:t>
      </w:r>
      <w:r>
        <w:rPr>
          <w:lang w:val="en-US"/>
        </w:rPr>
        <w:t xml:space="preserve">: </w:t>
      </w:r>
      <w:r w:rsidRPr="00345D6A">
        <w:rPr>
          <w:lang w:val="en-US"/>
        </w:rPr>
        <w:t>Article 1.8, if a resident of one Contracting State derives income from the other Contracting State but that first Contracting State (residence) treats the income as earned by the a permanent establishment located in a third jurisdiction, then that income generally cannot secure treaty benefits if either: (1) the income bears a low aggregate effective tax rate in the third jurisdiction and the Contracting State of residence or (2) the third jurisdiction lacks a comprehensive tax treaty with Contracting State from which the income was derived.</w:t>
      </w:r>
    </w:p>
    <w:p w14:paraId="76E84AC0" w14:textId="4888AE8C" w:rsidR="00345D6A" w:rsidRDefault="00345D6A" w:rsidP="00FA7D4E">
      <w:pPr>
        <w:jc w:val="both"/>
        <w:rPr>
          <w:lang w:val="en-US"/>
        </w:rPr>
      </w:pPr>
    </w:p>
    <w:p w14:paraId="3E9D0202" w14:textId="74F31F91" w:rsidR="00345D6A" w:rsidRDefault="008E64D5" w:rsidP="00FA7D4E">
      <w:pPr>
        <w:jc w:val="both"/>
        <w:rPr>
          <w:lang w:val="en-US"/>
        </w:rPr>
      </w:pPr>
      <w:r>
        <w:rPr>
          <w:lang w:val="en-US"/>
        </w:rPr>
        <w:t>Saving Clause: I</w:t>
      </w:r>
      <w:r w:rsidRPr="008E64D5">
        <w:rPr>
          <w:lang w:val="en-US"/>
        </w:rPr>
        <w:t xml:space="preserve">n </w:t>
      </w:r>
      <w:proofErr w:type="gramStart"/>
      <w:r w:rsidRPr="008E64D5">
        <w:rPr>
          <w:lang w:val="en-US"/>
        </w:rPr>
        <w:t>general</w:t>
      </w:r>
      <w:proofErr w:type="gramEnd"/>
      <w:r w:rsidRPr="008E64D5">
        <w:rPr>
          <w:lang w:val="en-US"/>
        </w:rPr>
        <w:t xml:space="preserve"> allows the US to continue to tax its citizens and residents as if the treaty had not come into effect</w:t>
      </w:r>
      <w:r>
        <w:rPr>
          <w:lang w:val="en-US"/>
        </w:rPr>
        <w:t>.</w:t>
      </w:r>
    </w:p>
    <w:p w14:paraId="2E0EE59A" w14:textId="0C8B1C64" w:rsidR="008E64D5" w:rsidRDefault="008E64D5" w:rsidP="00FA7D4E">
      <w:pPr>
        <w:jc w:val="both"/>
        <w:rPr>
          <w:lang w:val="en-US"/>
        </w:rPr>
      </w:pPr>
    </w:p>
    <w:p w14:paraId="4FCCDAD4" w14:textId="1529AB2D" w:rsidR="008E64D5" w:rsidRDefault="008E64D5" w:rsidP="00FA7D4E">
      <w:pPr>
        <w:jc w:val="both"/>
        <w:rPr>
          <w:lang w:val="en-US"/>
        </w:rPr>
      </w:pPr>
      <w:r>
        <w:rPr>
          <w:lang w:val="en-US"/>
        </w:rPr>
        <w:t xml:space="preserve">Can´t do “cherry picking”: </w:t>
      </w:r>
      <w:r w:rsidRPr="008E64D5">
        <w:rPr>
          <w:lang w:val="en-US"/>
        </w:rPr>
        <w:t>Where a treaty benefit is subject to limitations that are not present in the Code, the taxpayer cannot claim the treaty benefit and at the same time apply the more generous Code limitations</w:t>
      </w:r>
      <w:r>
        <w:rPr>
          <w:lang w:val="en-US"/>
        </w:rPr>
        <w:t>. Art. 1.2.</w:t>
      </w:r>
    </w:p>
    <w:p w14:paraId="7A98AC8B" w14:textId="4E205079" w:rsidR="008E64D5" w:rsidRDefault="008E64D5" w:rsidP="00FA7D4E">
      <w:pPr>
        <w:jc w:val="both"/>
        <w:rPr>
          <w:lang w:val="en-US"/>
        </w:rPr>
      </w:pPr>
    </w:p>
    <w:p w14:paraId="48BC1516" w14:textId="491A4F59" w:rsidR="008E64D5" w:rsidRDefault="008E64D5" w:rsidP="00FA7D4E">
      <w:pPr>
        <w:jc w:val="both"/>
        <w:rPr>
          <w:lang w:val="en-US"/>
        </w:rPr>
      </w:pPr>
      <w:r w:rsidRPr="008E64D5">
        <w:rPr>
          <w:lang w:val="en-US"/>
        </w:rPr>
        <w:t xml:space="preserve">Section 6114 requires that any taxpayer taking the position that a treaty provision overrides or modifies a Code provision must </w:t>
      </w:r>
      <w:r w:rsidRPr="008E64D5">
        <w:rPr>
          <w:u w:val="single"/>
          <w:lang w:val="en-US"/>
        </w:rPr>
        <w:t xml:space="preserve">disclose </w:t>
      </w:r>
      <w:r w:rsidRPr="008E64D5">
        <w:rPr>
          <w:lang w:val="en-US"/>
        </w:rPr>
        <w:t>the position taken on its return</w:t>
      </w:r>
      <w:r>
        <w:rPr>
          <w:lang w:val="en-US"/>
        </w:rPr>
        <w:t>.</w:t>
      </w:r>
    </w:p>
    <w:p w14:paraId="1162E1E7" w14:textId="198102DC" w:rsidR="008E64D5" w:rsidRDefault="008E64D5" w:rsidP="00FA7D4E">
      <w:pPr>
        <w:jc w:val="both"/>
        <w:rPr>
          <w:lang w:val="en-US"/>
        </w:rPr>
      </w:pPr>
    </w:p>
    <w:p w14:paraId="05575E49" w14:textId="6D7158A0" w:rsidR="008E64D5" w:rsidRDefault="008E64D5" w:rsidP="00FA7D4E">
      <w:pPr>
        <w:jc w:val="both"/>
        <w:rPr>
          <w:lang w:val="en-US"/>
        </w:rPr>
      </w:pPr>
      <w:r>
        <w:rPr>
          <w:lang w:val="en-US"/>
        </w:rPr>
        <w:t xml:space="preserve">LOB Article 22. </w:t>
      </w:r>
    </w:p>
    <w:p w14:paraId="3061D974" w14:textId="48A91455" w:rsidR="008E64D5" w:rsidRDefault="008E64D5" w:rsidP="00FA7D4E">
      <w:pPr>
        <w:jc w:val="both"/>
        <w:rPr>
          <w:lang w:val="en-US"/>
        </w:rPr>
      </w:pPr>
      <w:r>
        <w:rPr>
          <w:lang w:val="en-US"/>
        </w:rPr>
        <w:t>Tests: at least 50% ownership / less than 50% of gross income paid out to nonqualified persons in deductible payments.</w:t>
      </w:r>
    </w:p>
    <w:p w14:paraId="66A5EB43" w14:textId="2461BE2B" w:rsidR="008E64D5" w:rsidRDefault="008E64D5" w:rsidP="00FA7D4E">
      <w:pPr>
        <w:jc w:val="both"/>
        <w:rPr>
          <w:lang w:val="en-US"/>
        </w:rPr>
      </w:pPr>
      <w:r>
        <w:rPr>
          <w:lang w:val="en-US"/>
        </w:rPr>
        <w:t xml:space="preserve">Some exceptions: </w:t>
      </w:r>
      <w:r w:rsidRPr="008E64D5">
        <w:rPr>
          <w:lang w:val="en-US"/>
        </w:rPr>
        <w:t xml:space="preserve">The business presence in the source and residence states is deemed to </w:t>
      </w:r>
      <w:proofErr w:type="gramStart"/>
      <w:r w:rsidRPr="008E64D5">
        <w:rPr>
          <w:lang w:val="en-US"/>
        </w:rPr>
        <w:t>insure</w:t>
      </w:r>
      <w:proofErr w:type="gramEnd"/>
      <w:r w:rsidRPr="008E64D5">
        <w:rPr>
          <w:lang w:val="en-US"/>
        </w:rPr>
        <w:t xml:space="preserve"> that the treaty shopping is not present as long as the income in question arises as part of that business</w:t>
      </w:r>
      <w:r>
        <w:rPr>
          <w:lang w:val="en-US"/>
        </w:rPr>
        <w:t xml:space="preserve">. / Publicly traded companies in a treaty country along with management place. See Art. 22 for other. </w:t>
      </w:r>
    </w:p>
    <w:p w14:paraId="54C94BB1" w14:textId="4969977F" w:rsidR="008E64D5" w:rsidRDefault="008E64D5" w:rsidP="00FA7D4E">
      <w:pPr>
        <w:jc w:val="both"/>
        <w:rPr>
          <w:lang w:val="en-US"/>
        </w:rPr>
      </w:pPr>
    </w:p>
    <w:p w14:paraId="72E5C6F0" w14:textId="7C98F4CD" w:rsidR="008E64D5" w:rsidRDefault="008E64D5" w:rsidP="00FA7D4E">
      <w:pPr>
        <w:jc w:val="both"/>
        <w:rPr>
          <w:lang w:val="en-US"/>
        </w:rPr>
      </w:pPr>
      <w:r w:rsidRPr="008E64D5">
        <w:rPr>
          <w:u w:val="single"/>
          <w:lang w:val="en-US"/>
        </w:rPr>
        <w:t>Taxes Covered</w:t>
      </w:r>
      <w:r>
        <w:rPr>
          <w:lang w:val="en-US"/>
        </w:rPr>
        <w:t xml:space="preserve">: </w:t>
      </w:r>
      <w:r w:rsidRPr="008E64D5">
        <w:rPr>
          <w:lang w:val="en-US"/>
        </w:rPr>
        <w:t>The US treaties generally cover Federal income taxes but are not extended to US state and municipal levies.</w:t>
      </w:r>
      <w:r>
        <w:rPr>
          <w:lang w:val="en-US"/>
        </w:rPr>
        <w:t xml:space="preserve"> </w:t>
      </w:r>
      <w:r w:rsidRPr="008E64D5">
        <w:rPr>
          <w:lang w:val="en-US"/>
        </w:rPr>
        <w:t>Social security and unemployment taxes are expressly excluded in the Model Treaty</w:t>
      </w:r>
      <w:r>
        <w:rPr>
          <w:lang w:val="en-US"/>
        </w:rPr>
        <w:t>.</w:t>
      </w:r>
    </w:p>
    <w:p w14:paraId="12F44CDE" w14:textId="640B1832" w:rsidR="008E64D5" w:rsidRDefault="008E64D5" w:rsidP="00FA7D4E">
      <w:pPr>
        <w:jc w:val="both"/>
        <w:rPr>
          <w:lang w:val="en-US"/>
        </w:rPr>
      </w:pPr>
    </w:p>
    <w:p w14:paraId="538BC54D" w14:textId="590F38A9" w:rsidR="00281E7E" w:rsidRPr="00281E7E" w:rsidRDefault="00281E7E" w:rsidP="00281E7E">
      <w:pPr>
        <w:jc w:val="both"/>
        <w:rPr>
          <w:lang w:val="en-US"/>
        </w:rPr>
      </w:pPr>
      <w:r w:rsidRPr="00281E7E">
        <w:rPr>
          <w:u w:val="single"/>
          <w:lang w:val="en-US"/>
        </w:rPr>
        <w:t>Business Income</w:t>
      </w:r>
      <w:r>
        <w:rPr>
          <w:lang w:val="en-US"/>
        </w:rPr>
        <w:t xml:space="preserve">: Art. 7.1. </w:t>
      </w:r>
      <w:r w:rsidRPr="00281E7E">
        <w:rPr>
          <w:lang w:val="en-US"/>
        </w:rPr>
        <w:t>In general, the treaties provide that a foreign taxpayer will not be taxed on business income unless that income is attributable to a permanent establishment located in the US. If no permanent establishment is present, business income that would otherwise be subject to US tax is exempt under the treaty.</w:t>
      </w:r>
    </w:p>
    <w:p w14:paraId="18AC1015" w14:textId="0844148A" w:rsidR="008E64D5" w:rsidRDefault="00281E7E" w:rsidP="00281E7E">
      <w:pPr>
        <w:jc w:val="both"/>
        <w:rPr>
          <w:lang w:val="en-US"/>
        </w:rPr>
      </w:pPr>
      <w:r w:rsidRPr="00281E7E">
        <w:rPr>
          <w:lang w:val="en-US"/>
        </w:rPr>
        <w:t>Conversely, a US taxpayer who realizes business income in a foreign country with which the US has a treaty will be taxed in that country only if the income is attributable to a permanent establishment located there</w:t>
      </w:r>
      <w:r>
        <w:rPr>
          <w:lang w:val="en-US"/>
        </w:rPr>
        <w:t>.</w:t>
      </w:r>
    </w:p>
    <w:p w14:paraId="36D49773" w14:textId="14C2F2C8" w:rsidR="00281E7E" w:rsidRDefault="00281E7E" w:rsidP="00281E7E">
      <w:pPr>
        <w:jc w:val="both"/>
        <w:rPr>
          <w:lang w:val="en-US"/>
        </w:rPr>
      </w:pPr>
    </w:p>
    <w:p w14:paraId="15E8AF50" w14:textId="582F4771" w:rsidR="00281E7E" w:rsidRDefault="00281E7E" w:rsidP="00281E7E">
      <w:pPr>
        <w:jc w:val="both"/>
        <w:rPr>
          <w:lang w:val="en-US"/>
        </w:rPr>
      </w:pPr>
      <w:r w:rsidRPr="00281E7E">
        <w:rPr>
          <w:u w:val="single"/>
          <w:lang w:val="en-US"/>
        </w:rPr>
        <w:t>Permanent establishment</w:t>
      </w:r>
      <w:r>
        <w:rPr>
          <w:lang w:val="en-US"/>
        </w:rPr>
        <w:t xml:space="preserve">: </w:t>
      </w:r>
      <w:r w:rsidRPr="00281E7E">
        <w:rPr>
          <w:lang w:val="en-US"/>
        </w:rPr>
        <w:t xml:space="preserve">In general, a permanent establishment may take the form of an office or other fixed place of business or a resident agent of the taxpayer with authority to </w:t>
      </w:r>
      <w:proofErr w:type="gramStart"/>
      <w:r w:rsidRPr="00281E7E">
        <w:rPr>
          <w:lang w:val="en-US"/>
        </w:rPr>
        <w:t>enter into</w:t>
      </w:r>
      <w:proofErr w:type="gramEnd"/>
      <w:r w:rsidRPr="00281E7E">
        <w:rPr>
          <w:lang w:val="en-US"/>
        </w:rPr>
        <w:t xml:space="preserve"> contractual relationships or who fills orders from a stock of goods located in the agent’s country</w:t>
      </w:r>
      <w:r>
        <w:rPr>
          <w:lang w:val="en-US"/>
        </w:rPr>
        <w:t>.</w:t>
      </w:r>
    </w:p>
    <w:p w14:paraId="28D49863" w14:textId="7EE6DBBD" w:rsidR="00281E7E" w:rsidRDefault="00281E7E" w:rsidP="00281E7E">
      <w:pPr>
        <w:jc w:val="both"/>
        <w:rPr>
          <w:lang w:val="en-US"/>
        </w:rPr>
      </w:pPr>
    </w:p>
    <w:p w14:paraId="7988D053" w14:textId="68250B99" w:rsidR="00281E7E" w:rsidRDefault="00281E7E" w:rsidP="00281E7E">
      <w:pPr>
        <w:jc w:val="both"/>
        <w:rPr>
          <w:lang w:val="en-US"/>
        </w:rPr>
      </w:pPr>
      <w:r>
        <w:rPr>
          <w:lang w:val="en-US"/>
        </w:rPr>
        <w:t xml:space="preserve">Anti-fragmentation rule - </w:t>
      </w:r>
      <w:r w:rsidRPr="00281E7E">
        <w:rPr>
          <w:lang w:val="en-US"/>
        </w:rPr>
        <w:t>Article 5.3</w:t>
      </w:r>
      <w:r>
        <w:rPr>
          <w:lang w:val="en-US"/>
        </w:rPr>
        <w:t xml:space="preserve">. </w:t>
      </w:r>
      <w:r w:rsidRPr="00281E7E">
        <w:rPr>
          <w:lang w:val="en-US"/>
        </w:rPr>
        <w:t>prevent a business from dividing up its business activities in a jurisdiction among related parties so that each one individually falls below the treaty threshold for triggering permanent establishment status</w:t>
      </w:r>
      <w:r>
        <w:rPr>
          <w:lang w:val="en-US"/>
        </w:rPr>
        <w:t xml:space="preserve">. </w:t>
      </w:r>
    </w:p>
    <w:p w14:paraId="5A3FFF5E" w14:textId="5F34ACE3" w:rsidR="00281E7E" w:rsidRDefault="00281E7E" w:rsidP="00281E7E">
      <w:pPr>
        <w:jc w:val="both"/>
        <w:rPr>
          <w:lang w:val="en-US"/>
        </w:rPr>
      </w:pPr>
      <w:r>
        <w:rPr>
          <w:lang w:val="en-US"/>
        </w:rPr>
        <w:t>Ex.: B</w:t>
      </w:r>
      <w:r w:rsidRPr="00281E7E">
        <w:rPr>
          <w:lang w:val="en-US"/>
        </w:rPr>
        <w:t>uilding sites and construction/installation projects. Typically, treaties consider such activities to meet the permanent establishment threshold only if they last more than twelve months. Taxpayers have relied on efforts to divide up work among different contracts individually lasting under twelve months to avoid this rule</w:t>
      </w:r>
      <w:r>
        <w:rPr>
          <w:lang w:val="en-US"/>
        </w:rPr>
        <w:t>.</w:t>
      </w:r>
    </w:p>
    <w:p w14:paraId="6D470247" w14:textId="77777777" w:rsidR="00281E7E" w:rsidRDefault="00281E7E" w:rsidP="00281E7E">
      <w:pPr>
        <w:jc w:val="both"/>
        <w:rPr>
          <w:lang w:val="en-US"/>
        </w:rPr>
      </w:pPr>
    </w:p>
    <w:p w14:paraId="15239281" w14:textId="0EA91C23" w:rsidR="00281E7E" w:rsidRDefault="00281E7E" w:rsidP="00281E7E">
      <w:pPr>
        <w:jc w:val="both"/>
        <w:rPr>
          <w:lang w:val="en-US"/>
        </w:rPr>
      </w:pPr>
      <w:r w:rsidRPr="00281E7E">
        <w:rPr>
          <w:u w:val="single"/>
          <w:lang w:val="en-US"/>
        </w:rPr>
        <w:t>Business Profits attributable to a PE</w:t>
      </w:r>
      <w:r>
        <w:rPr>
          <w:lang w:val="en-US"/>
        </w:rPr>
        <w:t xml:space="preserve">: </w:t>
      </w:r>
      <w:r w:rsidRPr="00281E7E">
        <w:rPr>
          <w:lang w:val="en-US"/>
        </w:rPr>
        <w:t>In general, US treaties by their terms treat the permanent establishment as if it were an independent entity engaged in arm’s length dealings with third parties and the home office, rather than allocating the worldwide income of the enterprise on some formula basis. Thus, in general, dealings between the permanent establishment and head office will be based on arm’s length principles. However, the 2006 US Model treaty (as compared to its 1996 predecessor) moved more in this direction consistent with the “authorized OECD approach” (known as the AOA). The US support for the AOA and stronger reliance on transfer pricing principals to determine the profits of the permanent establishment</w:t>
      </w:r>
      <w:r>
        <w:rPr>
          <w:lang w:val="en-US"/>
        </w:rPr>
        <w:t>.</w:t>
      </w:r>
    </w:p>
    <w:p w14:paraId="08A91940" w14:textId="5A3A5802" w:rsidR="00281E7E" w:rsidRDefault="00281E7E" w:rsidP="00281E7E">
      <w:pPr>
        <w:jc w:val="both"/>
        <w:rPr>
          <w:lang w:val="en-US"/>
        </w:rPr>
      </w:pPr>
    </w:p>
    <w:p w14:paraId="0B4F2191" w14:textId="41C9825D" w:rsidR="00281E7E" w:rsidRDefault="00281E7E" w:rsidP="00281E7E">
      <w:pPr>
        <w:jc w:val="both"/>
        <w:rPr>
          <w:lang w:val="en-US"/>
        </w:rPr>
      </w:pPr>
      <w:r>
        <w:rPr>
          <w:lang w:val="en-US"/>
        </w:rPr>
        <w:t xml:space="preserve">Art. 7 - </w:t>
      </w:r>
      <w:r w:rsidRPr="00281E7E">
        <w:rPr>
          <w:lang w:val="en-US"/>
        </w:rPr>
        <w:t xml:space="preserve">Guidelines will apply for purposes of determining the profits attributable to a permanent establishment, </w:t>
      </w:r>
      <w:proofErr w:type="gramStart"/>
      <w:r w:rsidRPr="00281E7E">
        <w:rPr>
          <w:lang w:val="en-US"/>
        </w:rPr>
        <w:t>taking into account</w:t>
      </w:r>
      <w:proofErr w:type="gramEnd"/>
      <w:r w:rsidRPr="00281E7E">
        <w:rPr>
          <w:lang w:val="en-US"/>
        </w:rPr>
        <w:t xml:space="preserve"> the different economic and legal circumstances of a single entity</w:t>
      </w:r>
      <w:r>
        <w:rPr>
          <w:lang w:val="en-US"/>
        </w:rPr>
        <w:t>.</w:t>
      </w:r>
    </w:p>
    <w:p w14:paraId="6A9AF755" w14:textId="40F298E1" w:rsidR="00281E7E" w:rsidRDefault="00281E7E" w:rsidP="00281E7E">
      <w:pPr>
        <w:jc w:val="both"/>
        <w:rPr>
          <w:lang w:val="en-US"/>
        </w:rPr>
      </w:pPr>
    </w:p>
    <w:p w14:paraId="35DFCE73" w14:textId="35D742D7" w:rsidR="00281E7E" w:rsidRDefault="00281E7E" w:rsidP="00281E7E">
      <w:pPr>
        <w:jc w:val="both"/>
        <w:rPr>
          <w:lang w:val="en-US"/>
        </w:rPr>
      </w:pPr>
      <w:r w:rsidRPr="00281E7E">
        <w:rPr>
          <w:u w:val="single"/>
          <w:lang w:val="en-US"/>
        </w:rPr>
        <w:t>Investment income</w:t>
      </w:r>
      <w:r>
        <w:rPr>
          <w:lang w:val="en-US"/>
        </w:rPr>
        <w:t>:</w:t>
      </w:r>
    </w:p>
    <w:p w14:paraId="1E2C0EB8" w14:textId="77777777" w:rsidR="00281E7E" w:rsidRDefault="00281E7E" w:rsidP="00281E7E">
      <w:pPr>
        <w:jc w:val="both"/>
        <w:rPr>
          <w:lang w:val="en-US"/>
        </w:rPr>
      </w:pPr>
    </w:p>
    <w:p w14:paraId="2A7BAF6F" w14:textId="27173901" w:rsidR="00281E7E" w:rsidRDefault="00281E7E" w:rsidP="00281E7E">
      <w:pPr>
        <w:jc w:val="both"/>
        <w:rPr>
          <w:lang w:val="en-US"/>
        </w:rPr>
      </w:pPr>
      <w:r>
        <w:rPr>
          <w:lang w:val="en-US"/>
        </w:rPr>
        <w:t>FDAP Income (passive) – 30% WHT</w:t>
      </w:r>
    </w:p>
    <w:p w14:paraId="360198C9" w14:textId="42D38D9A" w:rsidR="00281E7E" w:rsidRDefault="00281E7E" w:rsidP="00281E7E">
      <w:pPr>
        <w:jc w:val="both"/>
        <w:rPr>
          <w:lang w:val="en-US"/>
        </w:rPr>
      </w:pPr>
      <w:r>
        <w:rPr>
          <w:lang w:val="en-US"/>
        </w:rPr>
        <w:t>ECI – Taxed at regular rates, net basis.</w:t>
      </w:r>
    </w:p>
    <w:p w14:paraId="48EC2A15" w14:textId="77777777" w:rsidR="00281E7E" w:rsidRDefault="00281E7E" w:rsidP="00281E7E">
      <w:pPr>
        <w:jc w:val="both"/>
        <w:rPr>
          <w:lang w:val="en-US"/>
        </w:rPr>
      </w:pPr>
    </w:p>
    <w:p w14:paraId="2C280B61" w14:textId="47C1025F" w:rsidR="00281E7E" w:rsidRDefault="00281E7E" w:rsidP="00281E7E">
      <w:pPr>
        <w:jc w:val="both"/>
        <w:rPr>
          <w:lang w:val="en-US"/>
        </w:rPr>
      </w:pPr>
      <w:r>
        <w:rPr>
          <w:lang w:val="en-US"/>
        </w:rPr>
        <w:t xml:space="preserve">Investment type income not attributable to a US PE has modified rules: </w:t>
      </w:r>
    </w:p>
    <w:p w14:paraId="46215656" w14:textId="77777777" w:rsidR="00281E7E" w:rsidRDefault="00281E7E" w:rsidP="00281E7E">
      <w:pPr>
        <w:jc w:val="both"/>
        <w:rPr>
          <w:lang w:val="en-US"/>
        </w:rPr>
      </w:pPr>
      <w:r>
        <w:rPr>
          <w:lang w:val="en-US"/>
        </w:rPr>
        <w:t>R</w:t>
      </w:r>
      <w:r w:rsidRPr="00281E7E">
        <w:rPr>
          <w:lang w:val="en-US"/>
        </w:rPr>
        <w:t>eciprocal reduction of rates (often to zero) for investment-type income.</w:t>
      </w:r>
    </w:p>
    <w:p w14:paraId="7EC899D5" w14:textId="77777777" w:rsidR="00281E7E" w:rsidRDefault="00281E7E" w:rsidP="00281E7E">
      <w:pPr>
        <w:jc w:val="both"/>
        <w:rPr>
          <w:lang w:val="en-US"/>
        </w:rPr>
      </w:pPr>
      <w:r>
        <w:rPr>
          <w:lang w:val="en-US"/>
        </w:rPr>
        <w:t>D</w:t>
      </w:r>
      <w:r w:rsidRPr="00281E7E">
        <w:rPr>
          <w:lang w:val="en-US"/>
        </w:rPr>
        <w:t>ividends are reduced to 15%, with a 5% rate applicable in the case of dividends paid by a subsidiary to a parent company.</w:t>
      </w:r>
      <w:r>
        <w:rPr>
          <w:lang w:val="en-US"/>
        </w:rPr>
        <w:t xml:space="preserve"> – US Model required 10% SH for the 5% reduced rate to apply. In UK treaty, if paid by an 80% controlled sub, rate is 0%. </w:t>
      </w:r>
    </w:p>
    <w:p w14:paraId="0E97B38B" w14:textId="77777777" w:rsidR="00281E7E" w:rsidRDefault="00281E7E" w:rsidP="00281E7E">
      <w:pPr>
        <w:jc w:val="both"/>
        <w:rPr>
          <w:lang w:val="en-US"/>
        </w:rPr>
      </w:pPr>
      <w:r w:rsidRPr="00281E7E">
        <w:rPr>
          <w:lang w:val="en-US"/>
        </w:rPr>
        <w:t>Interest income is generally exempt (in the US Model) or subject to a 15% rate.</w:t>
      </w:r>
    </w:p>
    <w:p w14:paraId="5284D4C5" w14:textId="6CCF93C4" w:rsidR="00281E7E" w:rsidRDefault="00281E7E" w:rsidP="00281E7E">
      <w:pPr>
        <w:jc w:val="both"/>
        <w:rPr>
          <w:lang w:val="en-US"/>
        </w:rPr>
      </w:pPr>
      <w:r w:rsidRPr="00281E7E">
        <w:rPr>
          <w:lang w:val="en-US"/>
        </w:rPr>
        <w:t>Royalties of various types also usually are exempt.</w:t>
      </w:r>
    </w:p>
    <w:p w14:paraId="02DD8BAD" w14:textId="7264AFD9" w:rsidR="00281E7E" w:rsidRDefault="00281E7E" w:rsidP="00281E7E">
      <w:pPr>
        <w:jc w:val="both"/>
        <w:rPr>
          <w:lang w:val="en-US"/>
        </w:rPr>
      </w:pPr>
    </w:p>
    <w:p w14:paraId="1BBB1C88" w14:textId="7D2FC7C1" w:rsidR="00281E7E" w:rsidRDefault="00281E7E" w:rsidP="00281E7E">
      <w:pPr>
        <w:jc w:val="both"/>
        <w:rPr>
          <w:lang w:val="en-US"/>
        </w:rPr>
      </w:pPr>
      <w:r w:rsidRPr="00281E7E">
        <w:rPr>
          <w:lang w:val="en-US"/>
        </w:rPr>
        <w:t xml:space="preserve">Where investment-type income is attributable to a </w:t>
      </w:r>
      <w:r>
        <w:rPr>
          <w:lang w:val="en-US"/>
        </w:rPr>
        <w:t>PE</w:t>
      </w:r>
      <w:r w:rsidRPr="00281E7E">
        <w:rPr>
          <w:lang w:val="en-US"/>
        </w:rPr>
        <w:t>, it is taxed typically under the business profits article</w:t>
      </w:r>
      <w:r>
        <w:rPr>
          <w:lang w:val="en-US"/>
        </w:rPr>
        <w:t xml:space="preserve"> – Art. 10.8</w:t>
      </w:r>
    </w:p>
    <w:p w14:paraId="2D0F4388" w14:textId="3D9E7B2B" w:rsidR="00281E7E" w:rsidRDefault="00281E7E" w:rsidP="00281E7E">
      <w:pPr>
        <w:jc w:val="both"/>
        <w:rPr>
          <w:lang w:val="en-US"/>
        </w:rPr>
      </w:pPr>
    </w:p>
    <w:p w14:paraId="03E7F465" w14:textId="1753E525" w:rsidR="00281E7E" w:rsidRDefault="00281E7E" w:rsidP="00281E7E">
      <w:pPr>
        <w:jc w:val="both"/>
        <w:rPr>
          <w:lang w:val="en-US"/>
        </w:rPr>
      </w:pPr>
      <w:r>
        <w:rPr>
          <w:lang w:val="en-US"/>
        </w:rPr>
        <w:t xml:space="preserve">There are anti inversion rules that apply for 10 years. Art. </w:t>
      </w:r>
      <w:r w:rsidRPr="00281E7E">
        <w:rPr>
          <w:lang w:val="en-US"/>
        </w:rPr>
        <w:t>10(5), 11(2)(d), and 12(2)(b)</w:t>
      </w:r>
      <w:r>
        <w:rPr>
          <w:lang w:val="en-US"/>
        </w:rPr>
        <w:t>.</w:t>
      </w:r>
    </w:p>
    <w:p w14:paraId="088A7B76" w14:textId="77777777" w:rsidR="00281E7E" w:rsidRDefault="00281E7E" w:rsidP="00281E7E">
      <w:pPr>
        <w:jc w:val="both"/>
        <w:rPr>
          <w:lang w:val="en-US"/>
        </w:rPr>
      </w:pPr>
    </w:p>
    <w:p w14:paraId="4226C2C7" w14:textId="23446EB9" w:rsidR="008E64D5" w:rsidRDefault="00281E7E" w:rsidP="00FA7D4E">
      <w:pPr>
        <w:jc w:val="both"/>
        <w:rPr>
          <w:lang w:val="en-US"/>
        </w:rPr>
      </w:pPr>
      <w:r w:rsidRPr="00281E7E">
        <w:rPr>
          <w:u w:val="single"/>
          <w:lang w:val="en-US"/>
        </w:rPr>
        <w:t>Real Property Income</w:t>
      </w:r>
      <w:r>
        <w:rPr>
          <w:lang w:val="en-US"/>
        </w:rPr>
        <w:t xml:space="preserve"> – Source taxation. Not only direct real estate, but also RPHC.</w:t>
      </w:r>
    </w:p>
    <w:p w14:paraId="13587AF6" w14:textId="0E00C2C0" w:rsidR="00281E7E" w:rsidRDefault="00281E7E" w:rsidP="00FA7D4E">
      <w:pPr>
        <w:jc w:val="both"/>
        <w:rPr>
          <w:lang w:val="en-US"/>
        </w:rPr>
      </w:pPr>
      <w:r w:rsidRPr="00281E7E">
        <w:rPr>
          <w:u w:val="single"/>
          <w:lang w:val="en-US"/>
        </w:rPr>
        <w:lastRenderedPageBreak/>
        <w:t>Gains from disposition of property</w:t>
      </w:r>
      <w:r>
        <w:rPr>
          <w:lang w:val="en-US"/>
        </w:rPr>
        <w:t>: US usually exempts, h</w:t>
      </w:r>
      <w:r w:rsidRPr="00281E7E">
        <w:rPr>
          <w:lang w:val="en-US"/>
        </w:rPr>
        <w:t>owever, gains from the disposition of property that are attributable to a permanent establishment or fixed base may be taxed by the source country</w:t>
      </w:r>
      <w:r>
        <w:rPr>
          <w:lang w:val="en-US"/>
        </w:rPr>
        <w:t xml:space="preserve"> – Art. 13.</w:t>
      </w:r>
    </w:p>
    <w:p w14:paraId="4E3BEBBB" w14:textId="6BCF56AC" w:rsidR="00281E7E" w:rsidRDefault="00281E7E" w:rsidP="00FA7D4E">
      <w:pPr>
        <w:jc w:val="both"/>
        <w:rPr>
          <w:lang w:val="en-US"/>
        </w:rPr>
      </w:pPr>
    </w:p>
    <w:p w14:paraId="0C3CFA5A" w14:textId="7AE9DB15" w:rsidR="00281E7E" w:rsidRDefault="00281E7E" w:rsidP="00FA7D4E">
      <w:pPr>
        <w:jc w:val="both"/>
        <w:rPr>
          <w:lang w:val="en-US"/>
        </w:rPr>
      </w:pPr>
      <w:r w:rsidRPr="00281E7E">
        <w:rPr>
          <w:u w:val="single"/>
          <w:lang w:val="en-US"/>
        </w:rPr>
        <w:t>Personal Services</w:t>
      </w:r>
      <w:r>
        <w:rPr>
          <w:lang w:val="en-US"/>
        </w:rPr>
        <w:t xml:space="preserve">: NRA employee of a foreign employer not taxed if not present more than 183 days (US Model). Code 90 days. </w:t>
      </w:r>
    </w:p>
    <w:p w14:paraId="7886A385" w14:textId="12C35BDA" w:rsidR="00281E7E" w:rsidRDefault="00281E7E" w:rsidP="00FA7D4E">
      <w:pPr>
        <w:jc w:val="both"/>
        <w:rPr>
          <w:lang w:val="en-US"/>
        </w:rPr>
      </w:pPr>
      <w:r>
        <w:rPr>
          <w:lang w:val="en-US"/>
        </w:rPr>
        <w:t xml:space="preserve">US model no limit for compensation, Code USD 3,000. </w:t>
      </w:r>
    </w:p>
    <w:p w14:paraId="4CD1BE37" w14:textId="0BAC990F" w:rsidR="00281E7E" w:rsidRDefault="00281E7E" w:rsidP="00FA7D4E">
      <w:pPr>
        <w:jc w:val="both"/>
        <w:rPr>
          <w:lang w:val="en-US"/>
        </w:rPr>
      </w:pPr>
      <w:r>
        <w:rPr>
          <w:lang w:val="en-US"/>
        </w:rPr>
        <w:t>Foreign employer must not be engaged in US trade or Business and payment not related to any US PE (so no deduction in accounts of a US PE). Must be paid directly by the foreign employer.</w:t>
      </w:r>
    </w:p>
    <w:p w14:paraId="77789196" w14:textId="67763016" w:rsidR="00281E7E" w:rsidRDefault="00281E7E" w:rsidP="00FA7D4E">
      <w:pPr>
        <w:jc w:val="both"/>
        <w:rPr>
          <w:lang w:val="en-US"/>
        </w:rPr>
      </w:pPr>
    </w:p>
    <w:p w14:paraId="3C1F9AED" w14:textId="1CA512A0" w:rsidR="00281E7E" w:rsidRDefault="00281E7E" w:rsidP="00FA7D4E">
      <w:pPr>
        <w:jc w:val="both"/>
        <w:rPr>
          <w:lang w:val="en-US"/>
        </w:rPr>
      </w:pPr>
      <w:r w:rsidRPr="00281E7E">
        <w:rPr>
          <w:u w:val="single"/>
          <w:lang w:val="en-US"/>
        </w:rPr>
        <w:t>Independent Personal Services</w:t>
      </w:r>
      <w:r>
        <w:rPr>
          <w:lang w:val="en-US"/>
        </w:rPr>
        <w:t xml:space="preserve"> (ex. Lawyer, not employee): </w:t>
      </w:r>
      <w:r w:rsidRPr="00281E7E">
        <w:rPr>
          <w:lang w:val="en-US"/>
        </w:rPr>
        <w:t xml:space="preserve">2016 US Model </w:t>
      </w:r>
      <w:r>
        <w:rPr>
          <w:lang w:val="en-US"/>
        </w:rPr>
        <w:t>treats</w:t>
      </w:r>
      <w:r w:rsidRPr="00281E7E">
        <w:rPr>
          <w:lang w:val="en-US"/>
        </w:rPr>
        <w:t xml:space="preserve"> independent services under business income. Under Article 7, independent services income earned by a nonresident alien will be subject to tax if the income is attributable to a permanent establishment</w:t>
      </w:r>
      <w:r>
        <w:rPr>
          <w:lang w:val="en-US"/>
        </w:rPr>
        <w:t>.</w:t>
      </w:r>
    </w:p>
    <w:p w14:paraId="4D9DC770" w14:textId="28B3BBCF" w:rsidR="00281E7E" w:rsidRDefault="00281E7E" w:rsidP="00FA7D4E">
      <w:pPr>
        <w:jc w:val="both"/>
        <w:rPr>
          <w:lang w:val="en-US"/>
        </w:rPr>
      </w:pPr>
      <w:r w:rsidRPr="00281E7E">
        <w:rPr>
          <w:u w:val="single"/>
          <w:lang w:val="en-US"/>
        </w:rPr>
        <w:t>Services of athletes and entertainers</w:t>
      </w:r>
      <w:r w:rsidRPr="00281E7E">
        <w:rPr>
          <w:lang w:val="en-US"/>
        </w:rPr>
        <w:t>, however, continue to be taxed even if not connected with a permanent establishment under Article 16 if the amount received for performing activities in the source state exceeds USD 30,000</w:t>
      </w:r>
      <w:r>
        <w:rPr>
          <w:lang w:val="en-US"/>
        </w:rPr>
        <w:t>. Rules avoid the use of corporations to manipulate PE/source rules. Art. 16.</w:t>
      </w:r>
    </w:p>
    <w:p w14:paraId="1238C98C" w14:textId="2798AF11" w:rsidR="00281E7E" w:rsidRDefault="00281E7E" w:rsidP="00FA7D4E">
      <w:pPr>
        <w:jc w:val="both"/>
        <w:rPr>
          <w:lang w:val="en-US"/>
        </w:rPr>
      </w:pPr>
    </w:p>
    <w:p w14:paraId="2780E34A" w14:textId="544DD585" w:rsidR="00281E7E" w:rsidRDefault="00281E7E" w:rsidP="00FA7D4E">
      <w:pPr>
        <w:jc w:val="both"/>
        <w:rPr>
          <w:lang w:val="en-US"/>
        </w:rPr>
      </w:pPr>
      <w:r w:rsidRPr="00281E7E">
        <w:rPr>
          <w:u w:val="single"/>
          <w:lang w:val="en-US"/>
        </w:rPr>
        <w:t>FTC</w:t>
      </w:r>
      <w:r>
        <w:rPr>
          <w:lang w:val="en-US"/>
        </w:rPr>
        <w:t xml:space="preserve">: </w:t>
      </w:r>
      <w:r w:rsidRPr="00281E7E">
        <w:rPr>
          <w:lang w:val="en-US"/>
        </w:rPr>
        <w:t>US Model, contain a general rule that any income that may be taxed by the source country under the treaty will be deemed to have its source in that country for purposes of the</w:t>
      </w:r>
      <w:r>
        <w:rPr>
          <w:lang w:val="en-US"/>
        </w:rPr>
        <w:t xml:space="preserve"> </w:t>
      </w:r>
      <w:r w:rsidRPr="00281E7E">
        <w:rPr>
          <w:lang w:val="en-US"/>
        </w:rPr>
        <w:t>treaty credit article</w:t>
      </w:r>
      <w:r>
        <w:rPr>
          <w:lang w:val="en-US"/>
        </w:rPr>
        <w:t>. Art. 23.3</w:t>
      </w:r>
    </w:p>
    <w:p w14:paraId="4905270F" w14:textId="0E16AE9C" w:rsidR="00281E7E" w:rsidRDefault="00281E7E" w:rsidP="00FA7D4E">
      <w:pPr>
        <w:jc w:val="both"/>
        <w:rPr>
          <w:lang w:val="en-US"/>
        </w:rPr>
      </w:pPr>
      <w:r w:rsidRPr="00281E7E">
        <w:rPr>
          <w:lang w:val="en-US"/>
        </w:rPr>
        <w:t>US limits its primary tax claim to the amount it could have collected as a source jurisdiction if the recipient had not been a US citizen and the US allows the US citizen a foreign tax credit for any foreign tax imposed by the resident country (up to the amount of the US tax) even if the income arises in the US</w:t>
      </w:r>
      <w:r>
        <w:rPr>
          <w:lang w:val="en-US"/>
        </w:rPr>
        <w:t>.</w:t>
      </w:r>
    </w:p>
    <w:p w14:paraId="17355431" w14:textId="77777777" w:rsidR="00281E7E" w:rsidRDefault="00281E7E" w:rsidP="00FA7D4E">
      <w:pPr>
        <w:jc w:val="both"/>
        <w:rPr>
          <w:lang w:val="en-US"/>
        </w:rPr>
      </w:pPr>
    </w:p>
    <w:p w14:paraId="1B5DB93B" w14:textId="3311B85B" w:rsidR="00281E7E" w:rsidRDefault="00281E7E" w:rsidP="00281E7E">
      <w:pPr>
        <w:jc w:val="both"/>
        <w:rPr>
          <w:lang w:val="en-US"/>
        </w:rPr>
      </w:pPr>
      <w:r>
        <w:rPr>
          <w:lang w:val="en-US"/>
        </w:rPr>
        <w:t xml:space="preserve">Ex. Art- 23.4- </w:t>
      </w:r>
      <w:r w:rsidRPr="00281E7E">
        <w:rPr>
          <w:lang w:val="en-US"/>
        </w:rPr>
        <w:t>suppose a US citizen resident in a treaty country receives</w:t>
      </w:r>
      <w:r>
        <w:rPr>
          <w:lang w:val="en-US"/>
        </w:rPr>
        <w:t xml:space="preserve"> </w:t>
      </w:r>
      <w:r w:rsidRPr="00281E7E">
        <w:rPr>
          <w:lang w:val="en-US"/>
        </w:rPr>
        <w:t>USD 100 of dividend income from US sources. If the US tax rate is 35% and the foreign rate 25%, the US would be entitled to a “notional” 15% withholding tax under the treaty, thus collecting the first USD 15 of tax. The treaty partner would allow a credit for the notional USD 15 of tax against its USD 25 of tax otherwise due. The US would then credit the USD 10 of additional foreign tax due (</w:t>
      </w:r>
      <w:proofErr w:type="gramStart"/>
      <w:r w:rsidRPr="00281E7E">
        <w:rPr>
          <w:lang w:val="en-US"/>
        </w:rPr>
        <w:t>despite the fact that</w:t>
      </w:r>
      <w:proofErr w:type="gramEnd"/>
      <w:r w:rsidRPr="00281E7E">
        <w:rPr>
          <w:lang w:val="en-US"/>
        </w:rPr>
        <w:t xml:space="preserve"> it is imposed on US source income) and collect a residual tax of USD 10, reflecting the fact that the US rate exceeds the foreign rate. 2006 US Technical Explanation, Art. 23, para. 4</w:t>
      </w:r>
    </w:p>
    <w:p w14:paraId="7350ECD7" w14:textId="77777777" w:rsidR="00281E7E" w:rsidRDefault="00281E7E" w:rsidP="00FA7D4E">
      <w:pPr>
        <w:jc w:val="both"/>
        <w:rPr>
          <w:lang w:val="en-US"/>
        </w:rPr>
      </w:pPr>
    </w:p>
    <w:p w14:paraId="2B7518E9" w14:textId="77777777" w:rsidR="00281E7E" w:rsidRDefault="00281E7E" w:rsidP="00FA7D4E">
      <w:pPr>
        <w:jc w:val="both"/>
        <w:rPr>
          <w:lang w:val="en-US"/>
        </w:rPr>
      </w:pPr>
    </w:p>
    <w:p w14:paraId="28052F59" w14:textId="07BF3144" w:rsidR="008E64D5" w:rsidRDefault="00281E7E" w:rsidP="00FA7D4E">
      <w:pPr>
        <w:jc w:val="both"/>
        <w:rPr>
          <w:lang w:val="en-US"/>
        </w:rPr>
      </w:pPr>
      <w:r>
        <w:rPr>
          <w:lang w:val="en-US"/>
        </w:rPr>
        <w:t xml:space="preserve"> </w:t>
      </w:r>
    </w:p>
    <w:p w14:paraId="13760119" w14:textId="77777777" w:rsidR="008E64D5" w:rsidRDefault="008E64D5" w:rsidP="00FA7D4E">
      <w:pPr>
        <w:jc w:val="both"/>
        <w:rPr>
          <w:lang w:val="en-US"/>
        </w:rPr>
      </w:pPr>
    </w:p>
    <w:p w14:paraId="6234FC15" w14:textId="25B78FAA" w:rsidR="008E64D5" w:rsidRDefault="008E64D5" w:rsidP="00FA7D4E">
      <w:pPr>
        <w:jc w:val="both"/>
        <w:rPr>
          <w:lang w:val="en-US"/>
        </w:rPr>
      </w:pPr>
    </w:p>
    <w:p w14:paraId="0E0F4507" w14:textId="77777777" w:rsidR="008E64D5" w:rsidRDefault="008E64D5" w:rsidP="00FA7D4E">
      <w:pPr>
        <w:jc w:val="both"/>
        <w:rPr>
          <w:lang w:val="en-US"/>
        </w:rPr>
      </w:pPr>
    </w:p>
    <w:p w14:paraId="43C81320" w14:textId="6D928831" w:rsidR="008E64D5" w:rsidRDefault="008E64D5" w:rsidP="00FA7D4E">
      <w:pPr>
        <w:jc w:val="both"/>
        <w:rPr>
          <w:lang w:val="en-US"/>
        </w:rPr>
      </w:pPr>
    </w:p>
    <w:p w14:paraId="297FAA47" w14:textId="77777777" w:rsidR="008E64D5" w:rsidRDefault="008E64D5" w:rsidP="00FA7D4E">
      <w:pPr>
        <w:jc w:val="both"/>
        <w:rPr>
          <w:lang w:val="en-US"/>
        </w:rPr>
      </w:pPr>
    </w:p>
    <w:p w14:paraId="4911730E" w14:textId="77777777" w:rsidR="008E64D5" w:rsidRDefault="008E64D5" w:rsidP="00FA7D4E">
      <w:pPr>
        <w:jc w:val="both"/>
        <w:rPr>
          <w:lang w:val="en-US"/>
        </w:rPr>
      </w:pPr>
    </w:p>
    <w:p w14:paraId="3C4F013D" w14:textId="3DEF5CF3" w:rsidR="00345D6A" w:rsidRDefault="00345D6A" w:rsidP="00FA7D4E">
      <w:pPr>
        <w:jc w:val="both"/>
        <w:rPr>
          <w:lang w:val="en-US"/>
        </w:rPr>
      </w:pPr>
    </w:p>
    <w:p w14:paraId="22CD9D50" w14:textId="77777777" w:rsidR="00345D6A" w:rsidRDefault="00345D6A" w:rsidP="00FA7D4E">
      <w:pPr>
        <w:jc w:val="both"/>
        <w:rPr>
          <w:lang w:val="en-US"/>
        </w:rPr>
      </w:pPr>
    </w:p>
    <w:p w14:paraId="59920273" w14:textId="5174CC9E" w:rsidR="00345D6A" w:rsidRDefault="00345D6A" w:rsidP="00FA7D4E">
      <w:pPr>
        <w:jc w:val="both"/>
        <w:rPr>
          <w:lang w:val="en-US"/>
        </w:rPr>
      </w:pPr>
    </w:p>
    <w:p w14:paraId="08DAB73F" w14:textId="77777777" w:rsidR="00345D6A" w:rsidRDefault="00345D6A" w:rsidP="00FA7D4E">
      <w:pPr>
        <w:jc w:val="both"/>
        <w:rPr>
          <w:lang w:val="en-US"/>
        </w:rPr>
      </w:pPr>
    </w:p>
    <w:p w14:paraId="04D2EE55" w14:textId="77777777" w:rsidR="00345D6A" w:rsidRDefault="00345D6A" w:rsidP="00FA7D4E">
      <w:pPr>
        <w:jc w:val="both"/>
        <w:rPr>
          <w:lang w:val="en-US"/>
        </w:rPr>
      </w:pPr>
    </w:p>
    <w:p w14:paraId="76CF02FA" w14:textId="7EB22508" w:rsidR="00FA7D4E" w:rsidRDefault="00FA7D4E" w:rsidP="00FA7D4E">
      <w:pPr>
        <w:jc w:val="both"/>
        <w:rPr>
          <w:lang w:val="en-US"/>
        </w:rPr>
      </w:pPr>
    </w:p>
    <w:p w14:paraId="1343999F" w14:textId="77777777" w:rsidR="00FA7D4E" w:rsidRDefault="00FA7D4E" w:rsidP="00FA7D4E">
      <w:pPr>
        <w:jc w:val="both"/>
        <w:rPr>
          <w:lang w:val="en-US"/>
        </w:rPr>
      </w:pPr>
    </w:p>
    <w:p w14:paraId="00DC450F" w14:textId="77777777" w:rsidR="00FA7D4E" w:rsidRDefault="00FA7D4E" w:rsidP="00FA7D4E">
      <w:pPr>
        <w:jc w:val="both"/>
        <w:rPr>
          <w:lang w:val="en-US"/>
        </w:rPr>
      </w:pPr>
    </w:p>
    <w:p w14:paraId="3CC93C12" w14:textId="0F12408E" w:rsidR="00FA7D4E" w:rsidRDefault="00FA7D4E" w:rsidP="00FA7D4E">
      <w:pPr>
        <w:jc w:val="both"/>
        <w:rPr>
          <w:lang w:val="en-US"/>
        </w:rPr>
      </w:pPr>
    </w:p>
    <w:p w14:paraId="4A433C09" w14:textId="77777777" w:rsidR="00FA7D4E" w:rsidRPr="00FA7D4E" w:rsidRDefault="00FA7D4E" w:rsidP="00FA7D4E">
      <w:pPr>
        <w:jc w:val="both"/>
        <w:rPr>
          <w:lang w:val="en-US"/>
        </w:rPr>
      </w:pPr>
    </w:p>
    <w:sectPr w:rsidR="00FA7D4E" w:rsidRPr="00FA7D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D4E"/>
    <w:rsid w:val="0001355A"/>
    <w:rsid w:val="00233800"/>
    <w:rsid w:val="00281E7E"/>
    <w:rsid w:val="00345D6A"/>
    <w:rsid w:val="008E64D5"/>
    <w:rsid w:val="00F625CB"/>
    <w:rsid w:val="00FA7D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F04F0DF"/>
  <w15:chartTrackingRefBased/>
  <w15:docId w15:val="{42D81771-1F0C-FC41-9542-39AA2DFB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287479">
      <w:bodyDiv w:val="1"/>
      <w:marLeft w:val="0"/>
      <w:marRight w:val="0"/>
      <w:marTop w:val="0"/>
      <w:marBottom w:val="0"/>
      <w:divBdr>
        <w:top w:val="none" w:sz="0" w:space="0" w:color="auto"/>
        <w:left w:val="none" w:sz="0" w:space="0" w:color="auto"/>
        <w:bottom w:val="none" w:sz="0" w:space="0" w:color="auto"/>
        <w:right w:val="none" w:sz="0" w:space="0" w:color="auto"/>
      </w:divBdr>
      <w:divsChild>
        <w:div w:id="1967273808">
          <w:marLeft w:val="0"/>
          <w:marRight w:val="0"/>
          <w:marTop w:val="0"/>
          <w:marBottom w:val="0"/>
          <w:divBdr>
            <w:top w:val="none" w:sz="0" w:space="0" w:color="auto"/>
            <w:left w:val="none" w:sz="0" w:space="0" w:color="auto"/>
            <w:bottom w:val="none" w:sz="0" w:space="0" w:color="auto"/>
            <w:right w:val="none" w:sz="0" w:space="0" w:color="auto"/>
          </w:divBdr>
          <w:divsChild>
            <w:div w:id="1161585664">
              <w:marLeft w:val="0"/>
              <w:marRight w:val="0"/>
              <w:marTop w:val="0"/>
              <w:marBottom w:val="0"/>
              <w:divBdr>
                <w:top w:val="none" w:sz="0" w:space="0" w:color="auto"/>
                <w:left w:val="none" w:sz="0" w:space="0" w:color="auto"/>
                <w:bottom w:val="none" w:sz="0" w:space="0" w:color="auto"/>
                <w:right w:val="none" w:sz="0" w:space="0" w:color="auto"/>
              </w:divBdr>
              <w:divsChild>
                <w:div w:id="6501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1692</Words>
  <Characters>9137</Characters>
  <Application>Microsoft Office Word</Application>
  <DocSecurity>0</DocSecurity>
  <Lines>76</Lines>
  <Paragraphs>21</Paragraphs>
  <ScaleCrop>false</ScaleCrop>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sonilton campos</dc:creator>
  <cp:keywords/>
  <dc:description/>
  <cp:lastModifiedBy>sonilton campos</cp:lastModifiedBy>
  <cp:revision>4</cp:revision>
  <dcterms:created xsi:type="dcterms:W3CDTF">2022-01-27T16:20:00Z</dcterms:created>
  <dcterms:modified xsi:type="dcterms:W3CDTF">2022-01-27T21:13:00Z</dcterms:modified>
</cp:coreProperties>
</file>