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XÍ NGHIỆP CƠ KHÍ XÂY DỰNG SỐ 5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DANH MỤC CÔNG VIỆC ĐÁNH GIÁ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50"/>
        <w:gridCol w:w="7456"/>
      </w:tblGrid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Đợt đánh giá:</w:t>
            </w:r>
          </w:p>
        </w:tc>
        <w:tc>
          <w:tcPr>
            <w:tcW w:type="dxa" w:w="7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Đánh giá nội bộ hệ thống quản lý tích hợp — Quý III/2026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Đơn vị được đánh giá:</w:t>
            </w:r>
          </w:p>
        </w:tc>
        <w:tc>
          <w:tcPr>
            <w:tcW w:type="dxa" w:w="7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Phòng Kỹ thuật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Tiêu chuẩn áp dụng:</w:t>
            </w:r>
          </w:p>
        </w:tc>
        <w:tc>
          <w:tcPr>
            <w:tcW w:type="dxa" w:w="7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ISO 9001:2015 · ISO 14001:2015 · ISO 45001:2018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Đánh giá viên:</w:t>
            </w:r>
          </w:p>
        </w:tc>
        <w:tc>
          <w:tcPr>
            <w:tcW w:type="dxa" w:w="7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Nguyễn Thuỳ Linh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đánh giá:</w:t>
            </w:r>
          </w:p>
        </w:tc>
        <w:tc>
          <w:tcPr>
            <w:tcW w:type="dxa" w:w="74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 / ……… / 20………</w:t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Danh mục này do hệ thống gợi ý để đánh giá viên tham khảo. Không bắt buộc thực hiện hết các mục, và không giới hạn phạm vi đánh giá — mọi phát hiện ngoài danh mục vẫn được ghi nhận bình thường.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  <w:tblLayout w:type="fixed"/>
      </w:tblPr>
      <w:tblGrid>
        <w:gridCol w:w="720"/>
        <w:gridCol w:w="4450"/>
        <w:gridCol w:w="1010"/>
        <w:gridCol w:w="3926"/>
      </w:tblGrid>
      <w:tr>
        <w:trPr>
          <w:tblHeader/>
        </w:trPr>
        <w:tc>
          <w:tcPr>
            <w:tcW w:type="dxa" w:w="720"/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STT</w:t>
            </w:r>
          </w:p>
        </w:tc>
        <w:tc>
          <w:tcPr>
            <w:tcW w:type="dxa" w:w="4450"/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Công việc cần làm</w:t>
            </w:r>
          </w:p>
        </w:tc>
        <w:tc>
          <w:tcPr>
            <w:tcW w:type="dxa" w:w="1010"/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Đánh tích</w:t>
            </w:r>
          </w:p>
        </w:tc>
        <w:tc>
          <w:tcPr>
            <w:tcW w:type="dxa" w:w="3926"/>
            <w:shd w:fill="F1F5F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gridSpan w:val="4"/>
            <w:shd w:fill="E8EDF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CHỨC NĂNG, NHIỆM VỤ VÀ QUÁ TRÌNH CỦA ĐƠN VỊ</w:t>
            </w:r>
          </w:p>
        </w:tc>
      </w:tr>
      <w:tr>
        <w:trPr>
          <w:cantSplit/>
          <w:trHeight w:val="700" w:hRule="atLeast"/>
        </w:trPr>
        <w:tc>
          <w:tcPr>
            <w:tcW w:type="dxa" w:w="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Xin quy chế hoạt động hiện hành của Phòng Kỹ thuật; đối chiếu chức năng ghi trong quy chế với công việc đơn vị đang thực sự làm.</w:t>
            </w:r>
          </w:p>
        </w:tc>
        <w:tc>
          <w:tcPr>
            <w:tcW w:type="dxa" w:w="1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Hỏi sơ đồ tổ chức và phân công trách nhiệm trong phòng; xác nhận ai chịu trách nhiệm cho từng quá trình chính.</w:t>
            </w:r>
            <w:r>
              <w:rPr>
                <w:rFonts w:ascii="Times New Roman" w:cs="Times New Roman" w:eastAsia="Times New Roman" w:hAnsi="Times New Roman"/>
                <w:i/>
                <w:iCs/>
                <w:color w:val="555555"/>
                <w:sz w:val="18"/>
                <w:szCs w:val="18"/>
              </w:rPr>
              <w:t xml:space="preserve">  (5.3 QMS)</w:t>
            </w:r>
          </w:p>
        </w:tc>
        <w:tc>
          <w:tcPr>
            <w:tcW w:type="dxa" w:w="1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4"/>
            <w:shd w:fill="E8EDF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NHÂN SỰ, NĂNG LỰC VÀ NHẬN THỨC</w:t>
            </w:r>
          </w:p>
        </w:tc>
      </w:tr>
      <w:tr>
        <w:trPr>
          <w:cantSplit/>
          <w:trHeight w:val="700" w:hRule="atLeast"/>
        </w:trPr>
        <w:tc>
          <w:tcPr>
            <w:tcW w:type="dxa" w:w="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Xin danh sách nhân sự và hồ sơ đào tạo năm nay; chọn 3 người đối chiếu với yêu cầu năng lực của vị trí họ đang giữ.</w:t>
            </w:r>
            <w:r>
              <w:rPr>
                <w:rFonts w:ascii="Times New Roman" w:cs="Times New Roman" w:eastAsia="Times New Roman" w:hAnsi="Times New Roman"/>
                <w:i/>
                <w:iCs/>
                <w:color w:val="555555"/>
                <w:sz w:val="18"/>
                <w:szCs w:val="18"/>
              </w:rPr>
              <w:t xml:space="preserve">  (7.2 QMS/EMS/OHS)</w:t>
            </w:r>
          </w:p>
        </w:tc>
        <w:tc>
          <w:tcPr>
            <w:tcW w:type="dxa" w:w="1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Hỏi 2 thợ vận hành máy tiện về mối nguy tại vị trí họ làm và biện pháp kiểm soát đang áp dụng; đối chiếu với kết quả nhận diện mối nguy của đơn vị.</w:t>
            </w:r>
            <w:r>
              <w:rPr>
                <w:rFonts w:ascii="Times New Roman" w:cs="Times New Roman" w:eastAsia="Times New Roman" w:hAnsi="Times New Roman"/>
                <w:i/>
                <w:iCs/>
                <w:color w:val="555555"/>
                <w:sz w:val="18"/>
                <w:szCs w:val="18"/>
              </w:rPr>
              <w:t xml:space="preserve">  (7.3 OHS · 6.1.2.1 OHS)</w:t>
            </w:r>
          </w:p>
        </w:tc>
        <w:tc>
          <w:tcPr>
            <w:tcW w:type="dxa" w:w="1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Xin hồ sơ huấn luyện an toàn lao động định kỳ; kiểm tra thời hạn còn hiệu lực của 3 người làm công việc có yêu cầu nghiêm ngặt.</w:t>
            </w:r>
            <w:r>
              <w:rPr>
                <w:rFonts w:ascii="Times New Roman" w:cs="Times New Roman" w:eastAsia="Times New Roman" w:hAnsi="Times New Roman"/>
                <w:i/>
                <w:iCs/>
                <w:color w:val="555555"/>
                <w:sz w:val="18"/>
                <w:szCs w:val="18"/>
              </w:rPr>
              <w:t xml:space="preserve">  (7.2 OHS)</w:t>
            </w:r>
          </w:p>
        </w:tc>
        <w:tc>
          <w:tcPr>
            <w:tcW w:type="dxa" w:w="1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4"/>
            <w:shd w:fill="E8EDF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QUÁ TRÌNH CHÍNH CỦA ĐƠN VỊ</w:t>
            </w:r>
          </w:p>
        </w:tc>
      </w:tr>
      <w:tr>
        <w:trPr>
          <w:cantSplit/>
          <w:trHeight w:val="700" w:hRule="atLeast"/>
        </w:trPr>
        <w:tc>
          <w:tcPr>
            <w:tcW w:type="dxa" w:w="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Yêu cầu xuất trình kế hoạch bảo dưỡng định kỳ năm nay; chọn 5 thiết bị đối chiếu ngày bảo dưỡng thực tế với ngày theo kế hoạch, ghi lại số lần trễ hạn.</w:t>
            </w:r>
            <w:r>
              <w:rPr>
                <w:rFonts w:ascii="Times New Roman" w:cs="Times New Roman" w:eastAsia="Times New Roman" w:hAnsi="Times New Roman"/>
                <w:i/>
                <w:iCs/>
                <w:color w:val="555555"/>
                <w:sz w:val="18"/>
                <w:szCs w:val="18"/>
              </w:rPr>
              <w:t xml:space="preserve">  (7.1.3 QMS · 8.5.1 QMS)</w:t>
            </w:r>
          </w:p>
        </w:tc>
        <w:tc>
          <w:tcPr>
            <w:tcW w:type="dxa" w:w="1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Chọn 3 phiếu sửa chữa đột xuất gần nhất; kiểm tra có ghi nhận nguyên nhân, biện pháp và người xác nhận hoàn thành không.</w:t>
            </w:r>
            <w:r>
              <w:rPr>
                <w:rFonts w:ascii="Times New Roman" w:cs="Times New Roman" w:eastAsia="Times New Roman" w:hAnsi="Times New Roman"/>
                <w:i/>
                <w:iCs/>
                <w:color w:val="555555"/>
                <w:sz w:val="18"/>
                <w:szCs w:val="18"/>
              </w:rPr>
              <w:t xml:space="preserve">  (8.5.1 QMS · 7.5.3 QMS)</w:t>
            </w:r>
          </w:p>
        </w:tc>
        <w:tc>
          <w:tcPr>
            <w:tcW w:type="dxa" w:w="1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Xin danh mục thiết bị đo cần hiệu chuẩn; chọn 3 thiết bị đang dùng tại xưởng, kiểm tra tem hiệu chuẩn còn hiệu lực và giấy chứng nhận tương ứng.</w:t>
            </w:r>
            <w:r>
              <w:rPr>
                <w:rFonts w:ascii="Times New Roman" w:cs="Times New Roman" w:eastAsia="Times New Roman" w:hAnsi="Times New Roman"/>
                <w:i/>
                <w:iCs/>
                <w:color w:val="555555"/>
                <w:sz w:val="18"/>
                <w:szCs w:val="18"/>
              </w:rPr>
              <w:t xml:space="preserve">  (7.1.5 QMS)</w:t>
            </w:r>
          </w:p>
        </w:tc>
        <w:tc>
          <w:tcPr>
            <w:tcW w:type="dxa" w:w="1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Hỏi quy trình đánh giá và lựa chọn nhà thầu sửa chữa điện cao thế; xin hồ sơ của nhà thầu gần nhất kèm bằng chứng đã phổ biến yêu cầu an toàn trước khi vào làm việc.</w:t>
            </w:r>
            <w:r>
              <w:rPr>
                <w:rFonts w:ascii="Times New Roman" w:cs="Times New Roman" w:eastAsia="Times New Roman" w:hAnsi="Times New Roman"/>
                <w:i/>
                <w:iCs/>
                <w:color w:val="555555"/>
                <w:sz w:val="18"/>
                <w:szCs w:val="18"/>
              </w:rPr>
              <w:t xml:space="preserve">  (8.4.1 QMS · 8.1.4.2 OHS)</w:t>
            </w:r>
          </w:p>
        </w:tc>
        <w:tc>
          <w:tcPr>
            <w:tcW w:type="dxa" w:w="1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4"/>
            <w:shd w:fill="E8EDF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AN TOÀN VÀ SỨC KHOẺ TẠI NƠI LÀM VIỆC</w:t>
            </w:r>
          </w:p>
        </w:tc>
      </w:tr>
      <w:tr>
        <w:trPr>
          <w:cantSplit/>
          <w:trHeight w:val="700" w:hRule="atLeast"/>
        </w:trPr>
        <w:tc>
          <w:tcPr>
            <w:tcW w:type="dxa" w:w="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Đi cùng tới xưởng cơ khí; quan sát việc sử dụng phương tiện bảo vệ cá nhân của người đang làm việc và tình trạng che chắn của máy tiện, máy hàn.</w:t>
            </w:r>
            <w:r>
              <w:rPr>
                <w:rFonts w:ascii="Times New Roman" w:cs="Times New Roman" w:eastAsia="Times New Roman" w:hAnsi="Times New Roman"/>
                <w:i/>
                <w:iCs/>
                <w:color w:val="555555"/>
                <w:sz w:val="18"/>
                <w:szCs w:val="18"/>
              </w:rPr>
              <w:t xml:space="preserve">  (8.1.2 OHS)</w:t>
            </w:r>
          </w:p>
        </w:tc>
        <w:tc>
          <w:tcPr>
            <w:tcW w:type="dxa" w:w="1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Kiểm tra tại chỗ bình chữa cháy và lối thoát nạn của khu vực kho vật tư; đối chiếu tem kiểm định với thời hạn còn hiệu lực.</w:t>
            </w:r>
            <w:r>
              <w:rPr>
                <w:rFonts w:ascii="Times New Roman" w:cs="Times New Roman" w:eastAsia="Times New Roman" w:hAnsi="Times New Roman"/>
                <w:i/>
                <w:iCs/>
                <w:color w:val="555555"/>
                <w:sz w:val="18"/>
                <w:szCs w:val="18"/>
              </w:rPr>
              <w:t xml:space="preserve">  (8.2 OHS)</w:t>
            </w:r>
          </w:p>
        </w:tc>
        <w:tc>
          <w:tcPr>
            <w:tcW w:type="dxa" w:w="1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4"/>
            <w:shd w:fill="E8EDF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MÔI TRƯỜNG VÀ CHẤT THẢI</w:t>
            </w:r>
          </w:p>
        </w:tc>
      </w:tr>
      <w:tr>
        <w:trPr>
          <w:cantSplit/>
          <w:trHeight w:val="700" w:hRule="atLeast"/>
        </w:trPr>
        <w:tc>
          <w:tcPr>
            <w:tcW w:type="dxa" w:w="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Quan sát khu vực lưu giữ dầu mỡ và dung môi; kiểm tra biển cảnh báo, biện pháp chống tràn đổ và tình trạng thùng chứa.</w:t>
            </w:r>
            <w:r>
              <w:rPr>
                <w:rFonts w:ascii="Times New Roman" w:cs="Times New Roman" w:eastAsia="Times New Roman" w:hAnsi="Times New Roman"/>
                <w:i/>
                <w:iCs/>
                <w:color w:val="555555"/>
                <w:sz w:val="18"/>
                <w:szCs w:val="18"/>
              </w:rPr>
              <w:t xml:space="preserve">  (8.1 EMS)</w:t>
            </w:r>
          </w:p>
        </w:tc>
        <w:tc>
          <w:tcPr>
            <w:tcW w:type="dxa" w:w="1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Xin sổ theo dõi bàn giao giẻ lau nhiễm dầu cho đơn vị xử lý; đối chiếu 3 lần bàn giao gần nhất với chứng từ tương ứng.</w:t>
            </w:r>
            <w:r>
              <w:rPr>
                <w:rFonts w:ascii="Times New Roman" w:cs="Times New Roman" w:eastAsia="Times New Roman" w:hAnsi="Times New Roman"/>
                <w:i/>
                <w:iCs/>
                <w:color w:val="555555"/>
                <w:sz w:val="18"/>
                <w:szCs w:val="18"/>
              </w:rPr>
              <w:t xml:space="preserve">  (6.1.2 EMS · 6.1.3 EMS)</w:t>
            </w:r>
          </w:p>
        </w:tc>
        <w:tc>
          <w:tcPr>
            <w:tcW w:type="dxa" w:w="1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4"/>
            <w:shd w:fill="E8EDF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THEO DÕI, ĐO LƯỜNG VÀ KHẮC PHỤC</w:t>
            </w:r>
          </w:p>
        </w:tc>
      </w:tr>
      <w:tr>
        <w:trPr>
          <w:cantSplit/>
          <w:trHeight w:val="700" w:hRule="atLeast"/>
        </w:trPr>
        <w:tc>
          <w:tcPr>
            <w:tcW w:type="dxa" w:w="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Hỏi các sự không phù hợp đơn vị nhận được ở kỳ đánh giá gần nhất; xin hồ sơ khắc phục và đối chiếu xem biện pháp đã thực hiện có còn được duy trì không.</w:t>
            </w:r>
            <w:r>
              <w:rPr>
                <w:rFonts w:ascii="Times New Roman" w:cs="Times New Roman" w:eastAsia="Times New Roman" w:hAnsi="Times New Roman"/>
                <w:i/>
                <w:iCs/>
                <w:color w:val="555555"/>
                <w:sz w:val="18"/>
                <w:szCs w:val="18"/>
              </w:rPr>
              <w:t xml:space="preserve">  (10.2 QMS/EMS/OHS)</w:t>
            </w:r>
          </w:p>
        </w:tc>
        <w:tc>
          <w:tcPr>
            <w:tcW w:type="dxa" w:w="1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4"/>
            <w:shd w:fill="E8EDF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PHÁT HIỆN NGOÀI DANH MỤC</w:t>
            </w:r>
          </w:p>
        </w:tc>
      </w:tr>
      <w:tr>
        <w:trPr>
          <w:cantSplit/>
          <w:trHeight w:val="700" w:hRule="atLeast"/>
        </w:trPr>
        <w:tc>
          <w:tcPr>
            <w:tcW w:type="dxa" w:w="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7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4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☐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sectPr>
      <w:pgSz w:w="11906" w:h="16838" w:orient="portrait"/>
      <w:pgMar w:top="900" w:right="8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2026-08-21T02:16:25.830Z</dcterms:created>
  <dcterms:modified xsi:type="dcterms:W3CDTF">2026-08-21T02:16:25.830Z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