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ОБРАЗЕЦ ЗАПОЛНЕНИЯ — ВСЕ ИМЕНА, КОНТАКТЫ И ПОДПИСИ ВЫМЫШЛЕНЫ</w:t>
      </w:r>
    </w:p>
    <w:p>
      <w:pPr>
        <w:jc w:val="center"/>
      </w:pPr>
      <w:r>
        <w:t>ДОГОВОР № 001/2026</w:t>
      </w:r>
    </w:p>
    <w:p>
      <w:pPr>
        <w:jc w:val="center"/>
      </w:pPr>
      <w:r>
        <w:rPr>
          <w:b/>
        </w:rPr>
        <w:t>об оказании услуг по разработке и сопровождению цифровых решений</w:t>
      </w:r>
    </w:p>
    <w:p>
      <w:r>
        <w:t>г. Бишкек                                                «12» октября 2026 г.</w:t>
      </w:r>
    </w:p>
    <w:p>
      <w:r>
        <w:t>Исполнитель: Иванов Артём Сергеевич (вымышленные данные), далее «Исполнитель», действующий с письменного согласия законного представителя, указанного в разделе 12, и Заказчик: ОсОО «Пример Бизнес» в лице директора Петрова Максима Андреевича (вымышленные данные), далее «Заказчик», заключили настоящий договор.</w:t>
      </w:r>
    </w:p>
    <w:p>
      <w:pPr>
        <w:pStyle w:val="Heading1"/>
      </w:pPr>
      <w:r>
        <w:t>1. Предмет договора</w:t>
      </w:r>
    </w:p>
    <w:p>
      <w:r>
        <w:rPr>
          <w:b w:val="0"/>
        </w:rPr>
        <w:t>1.1. Исполнитель оказывает по согласованию сторон услуги по созданию и настройке клиентских ботов, сайтов, CRM-систем, мобильных приложений и иных IT-решений, а также услуги их сопровождения.</w:t>
      </w:r>
    </w:p>
    <w:p>
      <w:r>
        <w:rPr>
          <w:b w:val="0"/>
        </w:rPr>
        <w:t>1.2. Конкретный результат, функции, сроки, стоимость, состав обслуживания и используемые каналы связи определяются в подписанном сторонами Приложении № 1 (Заказ-спецификация), которое является частью договора.</w:t>
      </w:r>
    </w:p>
    <w:p>
      <w:r>
        <w:rPr>
          <w:b w:val="0"/>
        </w:rPr>
        <w:t>1.3. Работы, не указанные в согласованной спецификации, не входят в первоначальную стоимость. Изменения оформляются отдельным письменным согласованием, в том числе сообщениями, позволяющими установить волю обеих сторон.</w:t>
      </w:r>
    </w:p>
    <w:p>
      <w:pPr>
        <w:pStyle w:val="Heading1"/>
      </w:pPr>
      <w:r>
        <w:t>2. Ориентировочные цены и состав услуг</w:t>
      </w:r>
    </w:p>
    <w:tbl>
      <w:tblPr>
        <w:tblStyle w:val="TableGrid"/>
        <w:tblW w:type="auto" w:w="0"/>
        <w:jc w:val="center"/>
        <w:tblLook w:firstColumn="1" w:firstRow="1" w:lastColumn="0" w:lastRow="0" w:noHBand="0" w:noVBand="1" w:val="04A0"/>
      </w:tblPr>
      <w:tblGrid>
        <w:gridCol w:w="4886"/>
        <w:gridCol w:w="4886"/>
      </w:tblGrid>
      <w:tr>
        <w:tc>
          <w:tcPr>
            <w:tcW w:type="dxa" w:w="4886"/>
            <w:vAlign w:val="center"/>
            <w:shd w:fill="E9EFF5"/>
          </w:tcPr>
          <w:p>
            <w:pPr>
              <w:spacing w:after="40"/>
            </w:pPr>
            <w:r>
              <w:t>Услуга</w:t>
            </w:r>
          </w:p>
        </w:tc>
        <w:tc>
          <w:tcPr>
            <w:tcW w:type="dxa" w:w="4886"/>
            <w:vAlign w:val="center"/>
            <w:shd w:fill="E9EFF5"/>
          </w:tcPr>
          <w:p>
            <w:pPr>
              <w:spacing w:after="40"/>
            </w:pPr>
            <w:r>
              <w:t>Стоимость</w:t>
            </w:r>
          </w:p>
        </w:tc>
      </w:tr>
      <w:tr>
        <w:tc>
          <w:tcPr>
            <w:tcW w:type="dxa" w:w="4886"/>
            <w:vAlign w:val="center"/>
          </w:tcPr>
          <w:p>
            <w:pPr>
              <w:spacing w:after="40"/>
            </w:pPr>
            <w:r>
              <w:t>Настройка стандартного клиентского бота</w:t>
            </w:r>
          </w:p>
        </w:tc>
        <w:tc>
          <w:tcPr>
            <w:tcW w:type="dxa" w:w="4886"/>
            <w:vAlign w:val="center"/>
          </w:tcPr>
          <w:p>
            <w:pPr>
              <w:spacing w:after="40"/>
            </w:pPr>
            <w:r>
              <w:t>15 000 сом, единовременно</w:t>
            </w:r>
          </w:p>
        </w:tc>
      </w:tr>
      <w:tr>
        <w:tc>
          <w:tcPr>
            <w:tcW w:type="dxa" w:w="4886"/>
            <w:vAlign w:val="center"/>
          </w:tcPr>
          <w:p>
            <w:pPr>
              <w:spacing w:after="40"/>
            </w:pPr>
            <w:r>
              <w:t>Бот: базовый ежемесячный тариф</w:t>
            </w:r>
          </w:p>
        </w:tc>
        <w:tc>
          <w:tcPr>
            <w:tcW w:type="dxa" w:w="4886"/>
            <w:vAlign w:val="center"/>
          </w:tcPr>
          <w:p>
            <w:pPr>
              <w:spacing w:after="40"/>
            </w:pPr>
            <w:r>
              <w:t>6 000 сом/месяц</w:t>
            </w:r>
          </w:p>
        </w:tc>
      </w:tr>
      <w:tr>
        <w:tc>
          <w:tcPr>
            <w:tcW w:type="dxa" w:w="4886"/>
            <w:vAlign w:val="center"/>
          </w:tcPr>
          <w:p>
            <w:pPr>
              <w:spacing w:after="40"/>
            </w:pPr>
            <w:r>
              <w:t>Бот: тариф с техническим сопровождением</w:t>
            </w:r>
          </w:p>
        </w:tc>
        <w:tc>
          <w:tcPr>
            <w:tcW w:type="dxa" w:w="4886"/>
            <w:vAlign w:val="center"/>
          </w:tcPr>
          <w:p>
            <w:pPr>
              <w:spacing w:after="40"/>
            </w:pPr>
            <w:r>
              <w:t>7 500 сом/месяц</w:t>
            </w:r>
          </w:p>
        </w:tc>
      </w:tr>
      <w:tr>
        <w:tc>
          <w:tcPr>
            <w:tcW w:type="dxa" w:w="4886"/>
            <w:vAlign w:val="center"/>
          </w:tcPr>
          <w:p>
            <w:pPr>
              <w:spacing w:after="40"/>
            </w:pPr>
            <w:r>
              <w:t>Новая функция или изменение требований</w:t>
            </w:r>
          </w:p>
        </w:tc>
        <w:tc>
          <w:tcPr>
            <w:tcW w:type="dxa" w:w="4886"/>
            <w:vAlign w:val="center"/>
          </w:tcPr>
          <w:p>
            <w:pPr>
              <w:spacing w:after="40"/>
            </w:pPr>
            <w:r>
              <w:t>от 1 500 сом, по согласованию</w:t>
            </w:r>
          </w:p>
        </w:tc>
      </w:tr>
      <w:tr>
        <w:tc>
          <w:tcPr>
            <w:tcW w:type="dxa" w:w="4886"/>
            <w:vAlign w:val="center"/>
          </w:tcPr>
          <w:p>
            <w:pPr>
              <w:spacing w:after="40"/>
            </w:pPr>
            <w:r>
              <w:t>Одностраничный сайт компании</w:t>
            </w:r>
          </w:p>
        </w:tc>
        <w:tc>
          <w:tcPr>
            <w:tcW w:type="dxa" w:w="4886"/>
            <w:vAlign w:val="center"/>
          </w:tcPr>
          <w:p>
            <w:pPr>
              <w:spacing w:after="40"/>
            </w:pPr>
            <w:r>
              <w:t>от 100 USD</w:t>
            </w:r>
          </w:p>
        </w:tc>
      </w:tr>
      <w:tr>
        <w:tc>
          <w:tcPr>
            <w:tcW w:type="dxa" w:w="4886"/>
            <w:vAlign w:val="center"/>
          </w:tcPr>
          <w:p>
            <w:pPr>
              <w:spacing w:after="40"/>
            </w:pPr>
            <w:r>
              <w:t>Сложный сайт с дополнительной логикой</w:t>
            </w:r>
          </w:p>
        </w:tc>
        <w:tc>
          <w:tcPr>
            <w:tcW w:type="dxa" w:w="4886"/>
            <w:vAlign w:val="center"/>
          </w:tcPr>
          <w:p>
            <w:pPr>
              <w:spacing w:after="40"/>
            </w:pPr>
            <w:r>
              <w:t>от 100 USD; окончательная цена по ТЗ</w:t>
            </w:r>
          </w:p>
        </w:tc>
      </w:tr>
      <w:tr>
        <w:tc>
          <w:tcPr>
            <w:tcW w:type="dxa" w:w="4886"/>
            <w:vAlign w:val="center"/>
          </w:tcPr>
          <w:p>
            <w:pPr>
              <w:spacing w:after="40"/>
            </w:pPr>
            <w:r>
              <w:t>Сайт-портфолио</w:t>
            </w:r>
          </w:p>
        </w:tc>
        <w:tc>
          <w:tcPr>
            <w:tcW w:type="dxa" w:w="4886"/>
            <w:vAlign w:val="center"/>
          </w:tcPr>
          <w:p>
            <w:pPr>
              <w:spacing w:after="40"/>
            </w:pPr>
            <w:r>
              <w:t>от 50 USD</w:t>
            </w:r>
          </w:p>
        </w:tc>
      </w:tr>
      <w:tr>
        <w:tc>
          <w:tcPr>
            <w:tcW w:type="dxa" w:w="4886"/>
            <w:vAlign w:val="center"/>
          </w:tcPr>
          <w:p>
            <w:pPr>
              <w:spacing w:after="40"/>
            </w:pPr>
            <w:r>
              <w:t>CRM, мобильные приложения и другие IT-услуги</w:t>
            </w:r>
          </w:p>
        </w:tc>
        <w:tc>
          <w:tcPr>
            <w:tcW w:type="dxa" w:w="4886"/>
            <w:vAlign w:val="center"/>
          </w:tcPr>
          <w:p>
            <w:pPr>
              <w:spacing w:after="40"/>
            </w:pPr>
            <w:r>
              <w:t>индивидуальная смета</w:t>
            </w:r>
          </w:p>
        </w:tc>
      </w:tr>
      <w:tr>
        <w:tc>
          <w:tcPr>
            <w:tcW w:type="dxa" w:w="4886"/>
            <w:vAlign w:val="center"/>
          </w:tcPr>
          <w:p>
            <w:pPr>
              <w:spacing w:after="40"/>
            </w:pPr>
            <w:r>
              <w:t>Настройка интернет-рекламы</w:t>
            </w:r>
          </w:p>
        </w:tc>
        <w:tc>
          <w:tcPr>
            <w:tcW w:type="dxa" w:w="4886"/>
            <w:vAlign w:val="center"/>
          </w:tcPr>
          <w:p>
            <w:pPr>
              <w:spacing w:after="40"/>
            </w:pPr>
            <w:r>
              <w:t>индивидуальная смета; рекламный бюджет отдельно</w:t>
            </w:r>
          </w:p>
        </w:tc>
      </w:tr>
    </w:tbl>
    <w:p>
      <w:r>
        <w:rPr>
          <w:b w:val="0"/>
        </w:rPr>
        <w:t>2.1. В первоначальную настройку стандартного бота входят согласованные сценарии общения, базовые подключения, проверка работоспособности и запуск. Дополнительные языки, новые каналы, сложные интеграции и специальные модули включаются только при прямом указании в спецификации.</w:t>
      </w:r>
    </w:p>
    <w:p>
      <w:r>
        <w:rPr>
          <w:b w:val="0"/>
        </w:rPr>
        <w:t>2.2. В базовый тариф бота входят обеспечение согласованного объёма работы подключённых сервисов и базовое администрирование. В тариф с сопровождением дополнительно входят контроль состояния, профилактика, технические консультации и диагностика. Ни один тариф не включает новые функции без отдельной оплаты.</w:t>
      </w:r>
    </w:p>
    <w:p>
      <w:r>
        <w:rPr>
          <w:b w:val="0"/>
        </w:rPr>
        <w:t>2.3. Для простого сайта стоимость домена и размещения за первый год включена лишь в пределах суммы и условий, зафиксированных в спецификации; последующие продления оплачиваются отдельно. Состав сайта, дизайн и количество страниц согласовываются до начала работ.</w:t>
      </w:r>
    </w:p>
    <w:p>
      <w:r>
        <w:rPr>
          <w:b w:val="0"/>
        </w:rPr>
        <w:t>2.4. Для CRM, приложений и иных нестандартных решений Исполнитель предлагает перечень модулей и их стоимость; Заказчик вправе выбрать нужные. Ежемесячная плата за сопровождение таких решений определяется отдельно; ориентир — стоимость согласованных ресурсов и работ по их поддержанию с сервисной наценкой 40%, если стороны не согласовали иной фиксированный тариф.</w:t>
      </w:r>
    </w:p>
    <w:p>
      <w:pPr>
        <w:pStyle w:val="Heading1"/>
      </w:pPr>
      <w:r>
        <w:t>3. Лимиты использования и пополнение баланса</w:t>
      </w:r>
    </w:p>
    <w:p>
      <w:r>
        <w:t>3.1. Для работы решения могут использоваться платные сторонние сервисы. Стороны заранее определяют месячный лимит расходов/использования и включённый объём: эквивалент 10 USD в месяц на использование интеллектуальных функций. Если лимит не определён, услуга активируется только после отдельного согласования доступного бюджета.</w:t>
      </w:r>
    </w:p>
    <w:p>
      <w:r>
        <w:rPr>
          <w:b w:val="0"/>
        </w:rPr>
        <w:t>3.2. При достижении установленного лимита дополнительные списания сверх лимита не разрешаются. Работа соответствующих функций может приостановиться до пополнения. Исполнитель уведомляет Заказчика о необходимости пополнения; Заказчик самостоятельно принимает решение и оплачивает дополнительный объём.</w:t>
      </w:r>
    </w:p>
    <w:p>
      <w:r>
        <w:rPr>
          <w:b w:val="0"/>
        </w:rPr>
        <w:t>3.3. Пополнение баланса сверх включённого лимита не образует автоматической комиссии Исполнителя. Если увеличение использования требует дополнительных работ по настройке, контролю или сопровождению, их стоимость согласовывается отдельно до выполнения. Неиспользованный остаток стороннего сервиса учитывается по правилам его поставщика.</w:t>
      </w:r>
    </w:p>
    <w:p>
      <w:r>
        <w:rPr>
          <w:b w:val="0"/>
        </w:rPr>
        <w:t>3.4. Ежемесячный платёж Исполнителю взимается за согласованные услуги сопровождения и организацию функционирования решения, а не за сам факт пополнения баланса. После первого месяца использование и сопровождение продолжаются на выбранном тарифе до прекращения договора.</w:t>
      </w:r>
    </w:p>
    <w:p>
      <w:pPr>
        <w:pStyle w:val="Heading1"/>
      </w:pPr>
      <w:r>
        <w:t>4. Оплата и приёмка</w:t>
      </w:r>
    </w:p>
    <w:p>
      <w:r>
        <w:rPr>
          <w:b w:val="0"/>
        </w:rPr>
        <w:t>4.1. По умолчанию разработка оплачивается двумя частями: 50% предоплата перед началом работ и 50% после демонстрации и приёмки результата, до передачи согласованных доступов/публикации окончательной версии. Иной график допускается в Приложении № 1.</w:t>
      </w:r>
    </w:p>
    <w:p>
      <w:r>
        <w:rPr>
          <w:b w:val="0"/>
        </w:rPr>
        <w:t>4.2. Исполнитель передаёт результат на проверку. Заказчик в течение 5 рабочих дней принимает работу либо направляет мотивированный список отклонений от спецификации. Исполнитель исправляет подтверждённые отклонения без дополнительной оплаты; затем результат предъявляется повторно.</w:t>
      </w:r>
    </w:p>
    <w:p>
      <w:r>
        <w:t>4.3. Ежемесячная плата вносится авансом не позднее 12-го числа каждого расчётного месяца. При просрочке Исполнитель направляет уведомление и предоставляет 5 календарных дней для оплаты, после чего вправе приостановить платное сопровождение, предупредив Заказчика. При этом данные не удаляются автоматически.</w:t>
      </w:r>
    </w:p>
    <w:p>
      <w:pPr>
        <w:pStyle w:val="Heading1"/>
      </w:pPr>
      <w:r>
        <w:t>5. Ошибки и сроки реакции</w:t>
      </w:r>
    </w:p>
    <w:p>
      <w:r>
        <w:rPr>
          <w:b w:val="0"/>
        </w:rPr>
        <w:t>5.1. Ошибки в собственном коде Исполнителя и несоответствия согласованной спецификации устраняются без дополнительной платы независимо от тарифа. Это не отменяет ежемесячную плату за действующие сторонние ресурсы и согласованное сопровождение.</w:t>
      </w:r>
    </w:p>
    <w:p>
      <w:r>
        <w:rPr>
          <w:b w:val="0"/>
        </w:rPr>
        <w:t>5.2. По критической неисправности, блокирующей основную функцию, Исполнитель начинает диагностику в течение 24 часов с получения сообщения; по обычной неисправности — в течение 3 рабочих дней. Это сроки начала реакции, а не безусловная гарантия завершения ремонта.</w:t>
      </w:r>
    </w:p>
    <w:p>
      <w:r>
        <w:rPr>
          <w:b w:val="0"/>
        </w:rPr>
        <w:t>5.3. Исполнитель не отвечает за невозможность работы, вызванную независимыми сбоями сторонних платформ, нарушениями со стороны Заказчика, недоступностью связи либо исчерпанием оплаченных лимитов, но оказывает согласованную помощь в диагностике. Собственные ошибки и виновные действия Исполнителя данным пунктом не исключаются из ответственности.</w:t>
      </w:r>
    </w:p>
    <w:p>
      <w:pPr>
        <w:pStyle w:val="Heading1"/>
      </w:pPr>
      <w:r>
        <w:t>6. Дополнительные работы</w:t>
      </w:r>
    </w:p>
    <w:p>
      <w:r>
        <w:rPr>
          <w:b w:val="0"/>
        </w:rPr>
        <w:t>6.1. Новый модуль, дополнительная интеграция, изменение бизнес-логики, новый экран, отчёт или иной объём вне спецификации оценивается отдельно, как правило от 1 500 сом за задачу. Исполнитель письменно сообщает стоимость и сроки; без подтверждения Заказчика к работе не приступает.</w:t>
      </w:r>
    </w:p>
    <w:p>
      <w:r>
        <w:rPr>
          <w:b w:val="0"/>
        </w:rPr>
        <w:t>6.2. Исправление дефекта ранее согласованной функции не считается новой платной функцией.</w:t>
      </w:r>
    </w:p>
    <w:p>
      <w:pPr>
        <w:pStyle w:val="Heading1"/>
      </w:pPr>
      <w:r>
        <w:t>7. Доступы, содействие и конфиденциальность</w:t>
      </w:r>
    </w:p>
    <w:p>
      <w:r>
        <w:rPr>
          <w:b w:val="0"/>
        </w:rPr>
        <w:t>7.1. Заказчик предоставляет исключительно необходимые для проекта сведения, материалы и разрешённые доступы к служебной электронной почте, бизнес-аккаунтам и иным сервисам либо самостоятельно выполняет действия: подтверждение кода, одобрение подключения, приглашение исполнителя, предоставление прав доступа и т. п.</w:t>
      </w:r>
    </w:p>
    <w:p>
      <w:r>
        <w:rPr>
          <w:b w:val="0"/>
        </w:rPr>
        <w:t>7.2. Предпочтительный порядок — выдача отдельного ограниченного доступа без передачи личного пароля. Одноразовые коды и пароли не фиксируются в договоре; при завершении работ Заказчик может отозвать доступы. Исполнитель не вправе использовать доступы вне задач проекта и передавать их третьим лицам без законного основания.</w:t>
      </w:r>
    </w:p>
    <w:p>
      <w:r>
        <w:rPr>
          <w:b w:val="0"/>
        </w:rPr>
        <w:t>7.3. Исполнитель сохраняет конфиденциальность полученных материалов и защищает доступы разумными организационными и техническими мерами. При обработке данных клиентов Заказчика стороны отдельно определяют цели, категории данных, роли сторон и допустимые способы обработки с соблюдением законодательства Кыргызской Республики о персональных данных.</w:t>
      </w:r>
    </w:p>
    <w:p>
      <w:pPr>
        <w:pStyle w:val="Heading1"/>
      </w:pPr>
      <w:r>
        <w:t>8. Права на результаты</w:t>
      </w:r>
    </w:p>
    <w:p>
      <w:r>
        <w:rPr>
          <w:b w:val="0"/>
        </w:rPr>
        <w:t>8.1. Заказчику предоставляется право использования оплаченного и переданного решения для своей деятельности в пределах согласованного назначения. Исключительные права на исходный код, внутреннюю архитектуру, библиотеки и универсальные компоненты к Заказчику автоматически не переходят.</w:t>
      </w:r>
    </w:p>
    <w:p>
      <w:r>
        <w:rPr>
          <w:b w:val="0"/>
        </w:rPr>
        <w:t>8.2. Передача исходного кода, исключительных прав, права модификации третьими лицами либо иных расширенных прав возможна только по отдельному письменному соглашению. Данные Заказчика остаются его данными; при прекращении договора порядок их выгрузки и передачи согласовывается отдельно с учётом технической возможности и закона.</w:t>
      </w:r>
    </w:p>
    <w:p>
      <w:pPr>
        <w:pStyle w:val="Heading1"/>
      </w:pPr>
      <w:r>
        <w:t>9. Срок действия и прекращение</w:t>
      </w:r>
    </w:p>
    <w:p>
      <w:r>
        <w:rPr>
          <w:b w:val="0"/>
        </w:rPr>
        <w:t>9.1. Договор действует с подписания до выполнения обязательств; ежемесячное сопровождение осуществляется помесячно и продлевается при оплате, пока одна из сторон не уведомит другую о прекращении не менее чем за 15 календарных дней.</w:t>
      </w:r>
    </w:p>
    <w:p>
      <w:r>
        <w:rPr>
          <w:b w:val="0"/>
        </w:rPr>
        <w:t>9.2. Оплаченные выполненные этапы не подлежат пересмотру лишь по причине отказа Заказчика от новых функций. При досрочном прекращении расчёт за фактически выполненные работы и неиспользованные суммы производится в соответствии с законом и согласованными документами.</w:t>
      </w:r>
    </w:p>
    <w:p>
      <w:r>
        <w:rPr>
          <w:b w:val="0"/>
        </w:rPr>
        <w:t>9.3. Исполнитель не гарантирует определённую выручку или число клиентов от внедрения системы. Ответственность за нарушения договора определяется применимым законодательством; исключения в договоре не освобождают от ответственности в случаях, когда это запрещено законом.</w:t>
      </w:r>
    </w:p>
    <w:p>
      <w:pPr>
        <w:pStyle w:val="Heading1"/>
      </w:pPr>
      <w:r>
        <w:t>10. Разрешение споров</w:t>
      </w:r>
    </w:p>
    <w:p>
      <w:r>
        <w:rPr>
          <w:b w:val="0"/>
        </w:rPr>
        <w:t>10.1. Разногласия стороны сначала стремятся разрешить переговорами и письменной претензией. При недостижении согласия спор рассматривается в соответствии с законодательством Кыргызской Республики.</w:t>
      </w:r>
    </w:p>
    <w:p>
      <w:pPr>
        <w:pStyle w:val="Heading1"/>
      </w:pPr>
      <w:r>
        <w:t>11. Данные и подписи сторон</w:t>
      </w:r>
    </w:p>
    <w:p>
      <w:r>
        <w:t>ИСПОЛНИТЕЛЬ: Иванов Артём Сергеевич (пример)</w:t>
      </w:r>
    </w:p>
    <w:p>
      <w:r>
        <w:t>Контакт: +996 700 000 000 (пример)     Подпись: /Иванов А. С./ (образец)</w:t>
      </w:r>
    </w:p>
    <w:p>
      <w:r>
        <w:t>ЗАКАЗЧИК: ОсОО «Пример Бизнес», директор Петров Максим Андреевич (пример)</w:t>
      </w:r>
    </w:p>
    <w:p>
      <w:r>
        <w:t>Контакт: +996 700 000 000 (пример)     Подпись: /Иванов А. С./ (образец)</w:t>
      </w:r>
    </w:p>
    <w:p>
      <w:pPr>
        <w:pStyle w:val="Heading1"/>
      </w:pPr>
      <w:r>
        <w:t>12. Письменное согласие законного представителя Исполнителя</w:t>
      </w:r>
    </w:p>
    <w:p>
      <w:r>
        <w:t>Я, Иванов Сергей Викторович (вымышленные данные), являясь отцом несовершеннолетнего Исполнителя, ознакомлен с условиями настоящего договора и даю письменное согласие на его заключение и исполнение в пределах законодательства Кыргызской Республики.</w:t>
      </w:r>
    </w:p>
    <w:p>
      <w:r>
        <w:t>ФИО представителя: Иванов Сергей Викторович (пример)</w:t>
      </w:r>
    </w:p>
    <w:p>
      <w:r>
        <w:t>Документ, удостоверяющий личность: представляется при подписании</w:t>
      </w:r>
    </w:p>
    <w:p>
      <w:r>
        <w:t>Дата «12» октября 2026 г.       Подпись: /Иванов С. В./ (образец)</w:t>
      </w:r>
    </w:p>
    <w:p>
      <w:r>
        <w:br w:type="page"/>
      </w:r>
    </w:p>
    <w:p>
      <w:pPr>
        <w:jc w:val="center"/>
      </w:pPr>
      <w:r>
        <w:rPr>
          <w:b/>
        </w:rPr>
        <w:t>ПРИЛОЖЕНИЕ № 1</w:t>
      </w:r>
    </w:p>
    <w:p>
      <w:pPr>
        <w:jc w:val="center"/>
      </w:pPr>
      <w:r>
        <w:t>ЗАКАЗ-СПЕЦИФИКАЦИЯ К ДОГОВОРУ № 001/2026</w:t>
      </w:r>
    </w:p>
    <w:p>
      <w:r>
        <w:t>Дата: «12» октября 2026 г.</w:t>
      </w:r>
    </w:p>
    <w:p>
      <w:r>
        <w:t>1. Наименование проекта / услуги: Стандартный AI-бот для первичного обслуживания клиентов</w:t>
      </w:r>
    </w:p>
    <w:p>
      <w:r/>
    </w:p>
    <w:p>
      <w:r>
        <w:t>2. Цель и ожидаемый результат: Автоматическая обработка типовых обращений и передача сложных запросов сотруднику.</w:t>
      </w:r>
    </w:p>
    <w:p>
      <w:r/>
    </w:p>
    <w:p>
      <w:r>
        <w:t>3. Включённые функции / страницы / интеграции: ответы на 20 типовых вопросов; передача обращения менеджеру; подключение одного согласованного канала; тестирование и запуск.</w:t>
      </w:r>
    </w:p>
    <w:p>
      <w:r/>
    </w:p>
    <w:p>
      <w:r>
        <w:t>4. Что НЕ входит в объём работ: CRM, интеграция с оплатой, рассылки, новые каналы связи, индивидуальная аналитика и иные функции вне указанного перечня.</w:t>
      </w:r>
    </w:p>
    <w:p>
      <w:r/>
    </w:p>
    <w:p>
      <w:r>
        <w:t>5. Срок начала и срок сдачи: 13–23 октября 2026 г. при своевременном предоставлении доступов.</w:t>
      </w:r>
    </w:p>
    <w:p>
      <w:r/>
    </w:p>
    <w:p>
      <w:r>
        <w:t>6. Цена разработки / настройки: 15 000 сом.</w:t>
      </w:r>
    </w:p>
    <w:p>
      <w:r/>
    </w:p>
    <w:p>
      <w:r>
        <w:t>7. Предоплата 50% и окончательный платёж 50%: 7 500 сом перед началом и 7 500 сом после приёмки.</w:t>
      </w:r>
    </w:p>
    <w:p>
      <w:r/>
    </w:p>
    <w:p>
      <w:r>
        <w:t>8. Выбранный месячный тариф и дата платежа: 7 500 сом/месяц (с сопровождением), до 12-го числа каждого месяца, начиная с ноября 2026 г.</w:t>
      </w:r>
    </w:p>
    <w:p>
      <w:r/>
    </w:p>
    <w:p>
      <w:r>
        <w:t>9. Включённый лимит платных ресурсов и порядок пополнения: эквивалент 10 USD/месяц для интеллектуальных функций; после исчерпания работа этих функций приостанавливается без автоматических списаний. Дополнительный объём оплачивается по решению Заказчика.</w:t>
      </w:r>
    </w:p>
    <w:p>
      <w:r/>
    </w:p>
    <w:p>
      <w:r>
        <w:t>10. Лимиты консультаций и технического сопровождения: до 2 консультаций по 30 минут в месяц; диагностика и профилактика, новые функции отдельно.</w:t>
      </w:r>
    </w:p>
    <w:p>
      <w:r/>
    </w:p>
    <w:p>
      <w:r>
        <w:t>11. Согласованные способы связи и приёмки: переписка в согласованном мессенджере; демонстрация результата и письменное подтверждение приёмки.</w:t>
      </w:r>
    </w:p>
    <w:p>
      <w:r/>
    </w:p>
    <w:p>
      <w:r>
        <w:t>12. Особые условия и права использования: право использования оплаченного решения для собственных задач Заказчика; исходный код и исключительные права не передаются.</w:t>
      </w:r>
    </w:p>
    <w:p>
      <w:r/>
    </w:p>
    <w:p>
      <w:r>
        <w:t>Исполнитель /Иванов А. С./ (образец)     Заказчик /Петров М. А./ (образец)</w:t>
      </w:r>
    </w:p>
    <w:p>
      <w:r>
        <w:t>Согласие законного представителя Исполнителя: /Иванов С. В./ (образец)</w:t>
      </w:r>
    </w:p>
    <w:sectPr w:rsidR="00FC693F" w:rsidRPr="0006063C" w:rsidSect="00034616">
      <w:footerReference w:type="default" r:id="rId9"/>
      <w:pgSz w:w="12240" w:h="15840"/>
      <w:pgMar w:top="1077"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Договор о разработке и сопровождении цифровых решений  •  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4203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b/>
      <w:color w:val="14203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