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7CB2" w14:textId="77777777" w:rsidR="00124186" w:rsidRDefault="00000000">
      <w:pPr>
        <w:spacing w:before="1440" w:after="240"/>
        <w:jc w:val="center"/>
      </w:pPr>
      <w:r>
        <w:rPr>
          <w:b/>
          <w:bCs/>
          <w:caps/>
          <w:color w:val="1F4E79"/>
          <w:sz w:val="52"/>
          <w:szCs w:val="52"/>
        </w:rPr>
        <w:t>FINSECURE PVT LTD</w:t>
      </w:r>
    </w:p>
    <w:p w14:paraId="0F417223" w14:textId="77777777" w:rsidR="00124186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Third-Party Risk Management Policy</w:t>
      </w:r>
    </w:p>
    <w:p w14:paraId="5CC46867" w14:textId="77777777" w:rsidR="00124186" w:rsidRDefault="00000000">
      <w:pPr>
        <w:spacing w:after="960"/>
        <w:jc w:val="center"/>
      </w:pPr>
      <w:r>
        <w:rPr>
          <w:color w:val="888888"/>
        </w:rPr>
        <w:t>Version 1.0  |  2024  |  Confidential  |  RBI Outsourcing Guidelines 2023 Aligned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4186" w14:paraId="700361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2064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8887" w14:textId="77777777" w:rsidR="00124186" w:rsidRDefault="00000000">
            <w:r>
              <w:rPr>
                <w:sz w:val="20"/>
                <w:szCs w:val="20"/>
              </w:rPr>
              <w:t>Third-Party Risk Management (TPRM) Policy</w:t>
            </w:r>
          </w:p>
        </w:tc>
      </w:tr>
      <w:tr w:rsidR="00124186" w14:paraId="1598F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6AD9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E445" w14:textId="77777777" w:rsidR="00124186" w:rsidRDefault="00000000">
            <w:r>
              <w:rPr>
                <w:sz w:val="20"/>
                <w:szCs w:val="20"/>
              </w:rPr>
              <w:t>FS-POL-TPRM-003</w:t>
            </w:r>
          </w:p>
        </w:tc>
      </w:tr>
      <w:tr w:rsidR="00124186" w14:paraId="76CC5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CAAD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08B0" w14:textId="77777777" w:rsidR="00124186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124186" w14:paraId="531065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CFD3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A066" w14:textId="77777777" w:rsidR="00124186" w:rsidRDefault="00000000">
            <w:r>
              <w:rPr>
                <w:sz w:val="20"/>
                <w:szCs w:val="20"/>
              </w:rPr>
              <w:t>Internal — Confidential</w:t>
            </w:r>
          </w:p>
        </w:tc>
      </w:tr>
      <w:tr w:rsidR="00124186" w14:paraId="5C125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0123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66CB" w14:textId="77777777" w:rsidR="00124186" w:rsidRDefault="00000000">
            <w:r>
              <w:rPr>
                <w:sz w:val="20"/>
                <w:szCs w:val="20"/>
              </w:rPr>
              <w:t>Chief Risk Officer (CRO)</w:t>
            </w:r>
          </w:p>
        </w:tc>
      </w:tr>
      <w:tr w:rsidR="00124186" w14:paraId="6710A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32E8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Approved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BF6E" w14:textId="77777777" w:rsidR="00124186" w:rsidRDefault="00000000">
            <w:r>
              <w:rPr>
                <w:sz w:val="20"/>
                <w:szCs w:val="20"/>
              </w:rPr>
              <w:t>Board of Directors</w:t>
            </w:r>
          </w:p>
        </w:tc>
      </w:tr>
      <w:tr w:rsidR="00124186" w14:paraId="789E9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94E7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Effective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04B0" w14:textId="0389E51B" w:rsidR="00124186" w:rsidRDefault="00000000">
            <w:r>
              <w:rPr>
                <w:sz w:val="20"/>
                <w:szCs w:val="20"/>
              </w:rPr>
              <w:t>01 January 202</w:t>
            </w:r>
            <w:r w:rsidR="004C5035">
              <w:rPr>
                <w:sz w:val="20"/>
                <w:szCs w:val="20"/>
              </w:rPr>
              <w:t>6</w:t>
            </w:r>
          </w:p>
        </w:tc>
      </w:tr>
      <w:tr w:rsidR="00124186" w14:paraId="7A618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AC8E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Review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B182" w14:textId="5E7ADF91" w:rsidR="00124186" w:rsidRDefault="00000000">
            <w:r>
              <w:rPr>
                <w:sz w:val="20"/>
                <w:szCs w:val="20"/>
              </w:rPr>
              <w:t>31 December 202</w:t>
            </w:r>
            <w:r w:rsidR="004C5035">
              <w:rPr>
                <w:sz w:val="20"/>
                <w:szCs w:val="20"/>
              </w:rPr>
              <w:t>6</w:t>
            </w:r>
          </w:p>
        </w:tc>
      </w:tr>
      <w:tr w:rsidR="00124186" w14:paraId="5FA63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5B07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Applicable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D71D" w14:textId="77777777" w:rsidR="00124186" w:rsidRDefault="00000000">
            <w:r>
              <w:rPr>
                <w:sz w:val="20"/>
                <w:szCs w:val="20"/>
              </w:rPr>
              <w:t>All employees, procurement teams, and business units engaging third-party vendors</w:t>
            </w:r>
          </w:p>
        </w:tc>
      </w:tr>
      <w:tr w:rsidR="00124186" w14:paraId="79143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74FF" w14:textId="77777777" w:rsidR="00124186" w:rsidRDefault="00000000">
            <w:r>
              <w:rPr>
                <w:b/>
                <w:bCs/>
                <w:color w:val="1F4E79"/>
                <w:sz w:val="20"/>
                <w:szCs w:val="20"/>
              </w:rPr>
              <w:t>Related Documents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0498" w14:textId="77777777" w:rsidR="00124186" w:rsidRDefault="00000000">
            <w:r>
              <w:rPr>
                <w:sz w:val="20"/>
                <w:szCs w:val="20"/>
              </w:rPr>
              <w:t>Vendor Register · DDQ (FS-TPRM-DDQ-001) · Information Security Policy · Data Privacy Policy</w:t>
            </w:r>
          </w:p>
        </w:tc>
      </w:tr>
    </w:tbl>
    <w:p w14:paraId="169A829B" w14:textId="77777777" w:rsidR="00124186" w:rsidRDefault="00124186">
      <w:pPr>
        <w:spacing w:before="60" w:after="60"/>
      </w:pPr>
    </w:p>
    <w:p w14:paraId="4091405C" w14:textId="77777777" w:rsidR="00124186" w:rsidRDefault="00124186">
      <w:pPr>
        <w:spacing w:before="60" w:after="60"/>
      </w:pPr>
    </w:p>
    <w:p w14:paraId="1F5EF146" w14:textId="77777777" w:rsidR="00124186" w:rsidRDefault="00000000">
      <w:pPr>
        <w:pStyle w:val="Heading1"/>
        <w:pBdr>
          <w:bottom w:val="single" w:sz="6" w:space="1" w:color="2E75B6"/>
        </w:pBdr>
      </w:pPr>
      <w:r>
        <w:t>1. Purpose</w:t>
      </w:r>
    </w:p>
    <w:p w14:paraId="185ADAD5" w14:textId="77777777" w:rsidR="00124186" w:rsidRDefault="00000000">
      <w:pPr>
        <w:spacing w:before="80" w:after="80"/>
      </w:pPr>
      <w:r>
        <w:rPr>
          <w:color w:val="1A1A1A"/>
        </w:rPr>
        <w:t>This Third-Party Risk Management (TPRM) Policy establishes FinSecure Pvt Ltd's framework for identifying, assessing, managing, and monitoring risks arising from third-party vendors and service providers. It ensures that vendor relationships do not introduce unacceptable risks to FinSecure's operations, customer data, regulatory standing, or financial integrity.</w:t>
      </w:r>
    </w:p>
    <w:p w14:paraId="7089CD08" w14:textId="77777777" w:rsidR="00124186" w:rsidRDefault="00000000">
      <w:pPr>
        <w:spacing w:before="80" w:after="80"/>
      </w:pPr>
      <w:r>
        <w:rPr>
          <w:color w:val="1A1A1A"/>
        </w:rPr>
        <w:t>As a registered NBFC, FinSecure relies on critical third parties including cloud providers, credit bureaus, payment gateways, and KYC platforms. The failure, breach, or non-compliance of any critical vendor can directly impact FinSecure's ability to serve customers and meet regulatory obligations. This policy ensures such risks are systematically managed.</w:t>
      </w:r>
    </w:p>
    <w:p w14:paraId="718B99D3" w14:textId="77777777" w:rsidR="00124186" w:rsidRDefault="00124186">
      <w:pPr>
        <w:spacing w:before="60" w:after="60"/>
      </w:pPr>
    </w:p>
    <w:p w14:paraId="26CA50A0" w14:textId="77777777" w:rsidR="00CB6DC8" w:rsidRDefault="00CB6DC8">
      <w:pPr>
        <w:spacing w:before="60" w:after="60"/>
      </w:pPr>
    </w:p>
    <w:p w14:paraId="13991F7A" w14:textId="77777777" w:rsidR="00124186" w:rsidRDefault="00000000">
      <w:pPr>
        <w:pStyle w:val="Heading1"/>
        <w:pBdr>
          <w:bottom w:val="single" w:sz="6" w:space="1" w:color="2E75B6"/>
        </w:pBdr>
      </w:pPr>
      <w:r>
        <w:lastRenderedPageBreak/>
        <w:t>2. Scope</w:t>
      </w:r>
    </w:p>
    <w:p w14:paraId="74594D7B" w14:textId="77777777" w:rsidR="00124186" w:rsidRDefault="00000000">
      <w:pPr>
        <w:spacing w:before="80" w:after="80"/>
      </w:pPr>
      <w:r>
        <w:rPr>
          <w:color w:val="1A1A1A"/>
        </w:rPr>
        <w:t>This policy applies to:</w:t>
      </w:r>
    </w:p>
    <w:p w14:paraId="20FE5070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third-party vendors, service providers, consultants, and contractors engaged by FinSecure</w:t>
      </w:r>
    </w:p>
    <w:p w14:paraId="576089C4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business units and employees responsible for vendor selection, onboarding, and management</w:t>
      </w:r>
    </w:p>
    <w:p w14:paraId="2D91FD12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vendors who access, process, store, or transmit FinSecure customer data or systems</w:t>
      </w:r>
    </w:p>
    <w:p w14:paraId="54A65F59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Fourth-party vendors (sub-processors) engaged by FinSecure's critical vendors</w:t>
      </w:r>
    </w:p>
    <w:p w14:paraId="0DA4C1EF" w14:textId="77777777" w:rsidR="00124186" w:rsidRDefault="00124186">
      <w:pPr>
        <w:spacing w:before="60" w:after="60"/>
      </w:pPr>
    </w:p>
    <w:p w14:paraId="04B0B72F" w14:textId="77777777" w:rsidR="00124186" w:rsidRDefault="00000000">
      <w:pPr>
        <w:pStyle w:val="Heading1"/>
        <w:pBdr>
          <w:bottom w:val="single" w:sz="6" w:space="1" w:color="2E75B6"/>
        </w:pBdr>
      </w:pPr>
      <w:r>
        <w:t>3. Vendor Risk Tiering</w:t>
      </w:r>
    </w:p>
    <w:p w14:paraId="0A7032E3" w14:textId="77777777" w:rsidR="00124186" w:rsidRDefault="00000000">
      <w:pPr>
        <w:spacing w:before="80" w:after="80"/>
      </w:pPr>
      <w:r>
        <w:rPr>
          <w:color w:val="1A1A1A"/>
        </w:rPr>
        <w:t>All vendors are assigned a Risk Tier based on their risk scoring assessment across five dimensions: Data Sensitivity, Business Criticality, Security Posture, Regulatory Compliance, and Financial Stability. Each dimension is scored 1–5. Total score determines the tier:</w:t>
      </w:r>
    </w:p>
    <w:p w14:paraId="0D5CD368" w14:textId="77777777" w:rsidR="00124186" w:rsidRDefault="001241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560"/>
        <w:gridCol w:w="2400"/>
      </w:tblGrid>
      <w:tr w:rsidR="00124186" w14:paraId="579569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0550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Risk Tier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A14F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25F9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85DE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 at FinSecure</w:t>
            </w:r>
          </w:p>
        </w:tc>
      </w:tr>
      <w:tr w:rsidR="00124186" w14:paraId="3B6246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4AD2" w14:textId="77777777" w:rsidR="00124186" w:rsidRDefault="00000000">
            <w:r>
              <w:rPr>
                <w:b/>
                <w:bCs/>
                <w:color w:val="A32D2D"/>
                <w:sz w:val="20"/>
                <w:szCs w:val="20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0A18" w14:textId="77777777" w:rsidR="00124186" w:rsidRDefault="00000000">
            <w:r>
              <w:rPr>
                <w:b/>
                <w:bCs/>
                <w:color w:val="A32D2D"/>
                <w:sz w:val="20"/>
                <w:szCs w:val="20"/>
              </w:rPr>
              <w:t>20–25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1035" w14:textId="77777777" w:rsidR="00124186" w:rsidRDefault="00000000">
            <w:r>
              <w:rPr>
                <w:color w:val="1A1A1A"/>
                <w:sz w:val="20"/>
                <w:szCs w:val="20"/>
              </w:rPr>
              <w:t>Vendor failure or breach would cause severe operational disruption or catastrophic data exposure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CB20" w14:textId="77777777" w:rsidR="00124186" w:rsidRDefault="00000000">
            <w:r>
              <w:rPr>
                <w:color w:val="1A1A1A"/>
                <w:sz w:val="20"/>
                <w:szCs w:val="20"/>
              </w:rPr>
              <w:t>AWS · CIBIL · Razorpay</w:t>
            </w:r>
          </w:p>
        </w:tc>
      </w:tr>
      <w:tr w:rsidR="00124186" w14:paraId="71EFBF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2EA2" w14:textId="77777777" w:rsidR="00124186" w:rsidRDefault="00000000"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E082" w14:textId="77777777" w:rsidR="00124186" w:rsidRDefault="00000000">
            <w:r>
              <w:rPr>
                <w:b/>
                <w:bCs/>
                <w:color w:val="854F0B"/>
                <w:sz w:val="20"/>
                <w:szCs w:val="20"/>
              </w:rPr>
              <w:t>14–19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A509" w14:textId="77777777" w:rsidR="00124186" w:rsidRDefault="00000000">
            <w:r>
              <w:rPr>
                <w:color w:val="1A1A1A"/>
                <w:sz w:val="20"/>
                <w:szCs w:val="20"/>
              </w:rPr>
              <w:t>Significant impact on operations or data if vendor fails — manageable with contingency plans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FA86" w14:textId="77777777" w:rsidR="00124186" w:rsidRDefault="00000000">
            <w:r>
              <w:rPr>
                <w:color w:val="1A1A1A"/>
                <w:sz w:val="20"/>
                <w:szCs w:val="20"/>
              </w:rPr>
              <w:t>Experian · Perfios</w:t>
            </w:r>
          </w:p>
        </w:tc>
      </w:tr>
      <w:tr w:rsidR="00124186" w14:paraId="2AE659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018B" w14:textId="77777777" w:rsidR="00124186" w:rsidRDefault="00000000">
            <w:r>
              <w:rPr>
                <w:b/>
                <w:bCs/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EFC3" w14:textId="77777777" w:rsidR="00124186" w:rsidRDefault="00000000">
            <w:r>
              <w:rPr>
                <w:b/>
                <w:bCs/>
                <w:color w:val="0F6E56"/>
                <w:sz w:val="20"/>
                <w:szCs w:val="20"/>
              </w:rPr>
              <w:t>8–13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E382" w14:textId="77777777" w:rsidR="00124186" w:rsidRDefault="00000000">
            <w:r>
              <w:rPr>
                <w:color w:val="1A1A1A"/>
                <w:sz w:val="20"/>
                <w:szCs w:val="20"/>
              </w:rPr>
              <w:t>Moderate impact — alternative vendors or manual processes can substitute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B9A1" w14:textId="77777777" w:rsidR="00124186" w:rsidRDefault="00000000">
            <w:r>
              <w:rPr>
                <w:color w:val="1A1A1A"/>
                <w:sz w:val="20"/>
                <w:szCs w:val="20"/>
              </w:rPr>
              <w:t>DigiLocker · Twilio · AuthBridge</w:t>
            </w:r>
          </w:p>
        </w:tc>
      </w:tr>
      <w:tr w:rsidR="00124186" w14:paraId="68011F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921E" w14:textId="77777777" w:rsidR="00124186" w:rsidRDefault="00000000">
            <w:r>
              <w:rPr>
                <w:b/>
                <w:bCs/>
                <w:color w:val="185FA5"/>
                <w:sz w:val="20"/>
                <w:szCs w:val="20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6E0D" w14:textId="77777777" w:rsidR="00124186" w:rsidRDefault="00000000">
            <w:r>
              <w:rPr>
                <w:b/>
                <w:bCs/>
                <w:color w:val="185FA5"/>
                <w:sz w:val="20"/>
                <w:szCs w:val="20"/>
              </w:rPr>
              <w:t>1–7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CACE" w14:textId="77777777" w:rsidR="00124186" w:rsidRDefault="00000000">
            <w:r>
              <w:rPr>
                <w:color w:val="1A1A1A"/>
                <w:sz w:val="20"/>
                <w:szCs w:val="20"/>
              </w:rPr>
              <w:t>Minimal impact — easily replaceable, no access to sensitive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11C2" w14:textId="77777777" w:rsidR="00124186" w:rsidRDefault="00000000">
            <w:r>
              <w:rPr>
                <w:color w:val="1A1A1A"/>
                <w:sz w:val="20"/>
                <w:szCs w:val="20"/>
              </w:rPr>
              <w:t>Office supplies · courier services</w:t>
            </w:r>
          </w:p>
        </w:tc>
      </w:tr>
    </w:tbl>
    <w:p w14:paraId="0E31FEB8" w14:textId="77777777" w:rsidR="00124186" w:rsidRDefault="00124186">
      <w:pPr>
        <w:spacing w:before="60" w:after="60"/>
      </w:pPr>
    </w:p>
    <w:p w14:paraId="2F05A0DA" w14:textId="77777777" w:rsidR="00124186" w:rsidRDefault="00000000">
      <w:pPr>
        <w:pStyle w:val="Heading1"/>
        <w:pBdr>
          <w:bottom w:val="single" w:sz="6" w:space="1" w:color="2E75B6"/>
        </w:pBdr>
      </w:pPr>
      <w:r>
        <w:t>4. Vendor Lifecycle Management</w:t>
      </w:r>
    </w:p>
    <w:p w14:paraId="05F89408" w14:textId="77777777" w:rsidR="00124186" w:rsidRDefault="00000000">
      <w:pPr>
        <w:pStyle w:val="Heading2"/>
      </w:pPr>
      <w:r>
        <w:t>4.1 Pre-Onboarding Due Diligence</w:t>
      </w:r>
    </w:p>
    <w:p w14:paraId="2C53994D" w14:textId="77777777" w:rsidR="00124186" w:rsidRDefault="00000000">
      <w:pPr>
        <w:spacing w:before="80" w:after="80"/>
      </w:pPr>
      <w:r>
        <w:rPr>
          <w:color w:val="1A1A1A"/>
        </w:rPr>
        <w:t>Before engaging any new vendor, the following steps are mandatory:</w:t>
      </w:r>
    </w:p>
    <w:p w14:paraId="1E2CE0C3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Business unit submits a Vendor Onboarding Request to the Risk &amp; Compliance team</w:t>
      </w:r>
    </w:p>
    <w:p w14:paraId="3AB75EC0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Vendor is assigned a preliminary Risk Tier based on service type and data access</w:t>
      </w:r>
    </w:p>
    <w:p w14:paraId="27BAB149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Vendor completes the FinSecure Due Diligence Questionnaire (DDQ — FS-TPRM-DDQ-001)</w:t>
      </w:r>
    </w:p>
    <w:p w14:paraId="40300693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DDQ responses are reviewed and scored by the Risk &amp; Compliance team</w:t>
      </w:r>
    </w:p>
    <w:p w14:paraId="0D791311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Critical and High tier vendors require CISO approval before onboarding</w:t>
      </w:r>
    </w:p>
    <w:p w14:paraId="78DD2899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tier vendors require Risk &amp; Compliance sign-off before contract execution</w:t>
      </w:r>
    </w:p>
    <w:p w14:paraId="576B62FA" w14:textId="77777777" w:rsidR="00124186" w:rsidRDefault="001241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760"/>
        <w:gridCol w:w="2400"/>
      </w:tblGrid>
      <w:tr w:rsidR="00124186" w14:paraId="51B4E2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F227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 Tier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9A21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DDQ Required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EDA2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Approval Required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2D41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124186" w14:paraId="6298E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DC00" w14:textId="77777777" w:rsidR="00124186" w:rsidRDefault="00000000">
            <w:r>
              <w:rPr>
                <w:b/>
                <w:bCs/>
                <w:color w:val="A32D2D"/>
                <w:sz w:val="20"/>
                <w:szCs w:val="20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A266" w14:textId="77777777" w:rsidR="00124186" w:rsidRDefault="00000000">
            <w:r>
              <w:rPr>
                <w:color w:val="1A1A1A"/>
                <w:sz w:val="20"/>
                <w:szCs w:val="20"/>
              </w:rPr>
              <w:t>Full DDQ + on-site audit option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F7F4" w14:textId="77777777" w:rsidR="00124186" w:rsidRDefault="00000000">
            <w:r>
              <w:rPr>
                <w:color w:val="1A1A1A"/>
                <w:sz w:val="20"/>
                <w:szCs w:val="20"/>
              </w:rPr>
              <w:t>CISO + CRO + Board notification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F765" w14:textId="77777777" w:rsidR="00124186" w:rsidRDefault="00000000">
            <w:r>
              <w:rPr>
                <w:color w:val="1A1A1A"/>
                <w:sz w:val="20"/>
                <w:szCs w:val="20"/>
              </w:rPr>
              <w:t>45 days</w:t>
            </w:r>
          </w:p>
        </w:tc>
      </w:tr>
      <w:tr w:rsidR="00124186" w14:paraId="31D868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724E" w14:textId="77777777" w:rsidR="00124186" w:rsidRDefault="00000000"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EE41" w14:textId="77777777" w:rsidR="00124186" w:rsidRDefault="00000000">
            <w:r>
              <w:rPr>
                <w:color w:val="1A1A1A"/>
                <w:sz w:val="20"/>
                <w:szCs w:val="20"/>
              </w:rPr>
              <w:t>Full DDQ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1E3D" w14:textId="77777777" w:rsidR="00124186" w:rsidRDefault="00000000">
            <w:r>
              <w:rPr>
                <w:color w:val="1A1A1A"/>
                <w:sz w:val="20"/>
                <w:szCs w:val="20"/>
              </w:rPr>
              <w:t>CISO + Risk &amp; Compliance Head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CFD8" w14:textId="77777777" w:rsidR="00124186" w:rsidRDefault="00000000">
            <w:r>
              <w:rPr>
                <w:color w:val="1A1A1A"/>
                <w:sz w:val="20"/>
                <w:szCs w:val="20"/>
              </w:rPr>
              <w:t>30 days</w:t>
            </w:r>
          </w:p>
        </w:tc>
      </w:tr>
      <w:tr w:rsidR="00124186" w14:paraId="310F22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4C49" w14:textId="77777777" w:rsidR="00124186" w:rsidRDefault="00000000">
            <w:r>
              <w:rPr>
                <w:b/>
                <w:bCs/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690D" w14:textId="77777777" w:rsidR="00124186" w:rsidRDefault="00000000">
            <w:r>
              <w:rPr>
                <w:color w:val="1A1A1A"/>
                <w:sz w:val="20"/>
                <w:szCs w:val="20"/>
              </w:rPr>
              <w:t>Abbreviated DDQ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2471" w14:textId="77777777" w:rsidR="00124186" w:rsidRDefault="00000000">
            <w:r>
              <w:rPr>
                <w:color w:val="1A1A1A"/>
                <w:sz w:val="20"/>
                <w:szCs w:val="20"/>
              </w:rPr>
              <w:t>Risk &amp; Compliance Head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BB52" w14:textId="77777777" w:rsidR="00124186" w:rsidRDefault="00000000">
            <w:r>
              <w:rPr>
                <w:color w:val="1A1A1A"/>
                <w:sz w:val="20"/>
                <w:szCs w:val="20"/>
              </w:rPr>
              <w:t>14 days</w:t>
            </w:r>
          </w:p>
        </w:tc>
      </w:tr>
      <w:tr w:rsidR="00124186" w14:paraId="10B59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00E0" w14:textId="77777777" w:rsidR="00124186" w:rsidRDefault="00000000">
            <w:r>
              <w:rPr>
                <w:b/>
                <w:bCs/>
                <w:color w:val="185FA5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5136" w14:textId="77777777" w:rsidR="00124186" w:rsidRDefault="00000000">
            <w:r>
              <w:rPr>
                <w:color w:val="1A1A1A"/>
                <w:sz w:val="20"/>
                <w:szCs w:val="20"/>
              </w:rPr>
              <w:t>Self-declaration form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7B88" w14:textId="77777777" w:rsidR="00124186" w:rsidRDefault="00000000">
            <w:r>
              <w:rPr>
                <w:color w:val="1A1A1A"/>
                <w:sz w:val="20"/>
                <w:szCs w:val="20"/>
              </w:rPr>
              <w:t>Procurement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CDFF" w14:textId="77777777" w:rsidR="00124186" w:rsidRDefault="00000000">
            <w:r>
              <w:rPr>
                <w:color w:val="1A1A1A"/>
                <w:sz w:val="20"/>
                <w:szCs w:val="20"/>
              </w:rPr>
              <w:t>7 days</w:t>
            </w:r>
          </w:p>
        </w:tc>
      </w:tr>
    </w:tbl>
    <w:p w14:paraId="212E0AA3" w14:textId="77777777" w:rsidR="00124186" w:rsidRDefault="00124186">
      <w:pPr>
        <w:spacing w:before="60" w:after="60"/>
      </w:pPr>
    </w:p>
    <w:p w14:paraId="7E5ACA41" w14:textId="77777777" w:rsidR="00124186" w:rsidRDefault="00000000">
      <w:pPr>
        <w:pStyle w:val="Heading2"/>
      </w:pPr>
      <w:r>
        <w:t>4.2 Contract Requirements</w:t>
      </w:r>
    </w:p>
    <w:p w14:paraId="7C0E24E8" w14:textId="77777777" w:rsidR="00124186" w:rsidRDefault="00000000">
      <w:pPr>
        <w:spacing w:before="80" w:after="80"/>
      </w:pPr>
      <w:r>
        <w:rPr>
          <w:color w:val="1A1A1A"/>
        </w:rPr>
        <w:t>All vendor contracts must include the following mandatory clauses — failure to include these clauses means the contract cannot be executed:</w:t>
      </w:r>
    </w:p>
    <w:p w14:paraId="45AADDE1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Data protection obligations aligned to DPDP Act 2023 and applicable regulations</w:t>
      </w:r>
    </w:p>
    <w:p w14:paraId="470ED57B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Security breach notification within 72 hours of detection</w:t>
      </w:r>
    </w:p>
    <w:p w14:paraId="1F20BA3C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Right to audit — FinSecure's right to conduct security audits at any time with 14 days notice</w:t>
      </w:r>
    </w:p>
    <w:p w14:paraId="45954E83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Data return and destruction obligations upon contract termination</w:t>
      </w:r>
    </w:p>
    <w:p w14:paraId="0BF1D2B5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Sub-processor restrictions — vendor must seek FinSecure approval before engaging sub-processors</w:t>
      </w:r>
    </w:p>
    <w:p w14:paraId="572D186F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SLA commitments with defined penalties for non-performance</w:t>
      </w:r>
    </w:p>
    <w:p w14:paraId="780F3A61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Regulatory compliance obligations — vendor must maintain all required licences</w:t>
      </w:r>
    </w:p>
    <w:p w14:paraId="7B3F9631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Business continuity and disaster recovery obligations with defined RTO/RPO</w:t>
      </w:r>
    </w:p>
    <w:p w14:paraId="5171D8DA" w14:textId="77777777" w:rsidR="00124186" w:rsidRDefault="00124186">
      <w:pPr>
        <w:spacing w:before="60" w:after="60"/>
      </w:pPr>
    </w:p>
    <w:p w14:paraId="1798F133" w14:textId="77777777" w:rsidR="00124186" w:rsidRDefault="00000000">
      <w:pPr>
        <w:pStyle w:val="Heading2"/>
      </w:pPr>
      <w:r>
        <w:t>4.3 Ongoing Monitoring</w:t>
      </w:r>
    </w:p>
    <w:p w14:paraId="6169E860" w14:textId="77777777" w:rsidR="00124186" w:rsidRDefault="00000000">
      <w:pPr>
        <w:spacing w:before="80" w:after="80"/>
      </w:pPr>
      <w:r>
        <w:rPr>
          <w:color w:val="1A1A1A"/>
        </w:rPr>
        <w:t>Vendor monitoring frequency is determined by Risk Tier:</w:t>
      </w:r>
    </w:p>
    <w:p w14:paraId="37048337" w14:textId="77777777" w:rsidR="00124186" w:rsidRDefault="001241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124186" w14:paraId="723975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B4BD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Risk 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95BE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Review Frequency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871F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Monitoring Activities</w:t>
            </w:r>
          </w:p>
        </w:tc>
      </w:tr>
      <w:tr w:rsidR="00124186" w14:paraId="19C683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FC4C" w14:textId="77777777" w:rsidR="00124186" w:rsidRDefault="00000000">
            <w:r>
              <w:rPr>
                <w:b/>
                <w:bCs/>
                <w:color w:val="A32D2D"/>
                <w:sz w:val="20"/>
                <w:szCs w:val="20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AB2D" w14:textId="77777777" w:rsidR="00124186" w:rsidRDefault="00000000">
            <w:r>
              <w:rPr>
                <w:color w:val="1A1A1A"/>
                <w:sz w:val="20"/>
                <w:szCs w:val="20"/>
              </w:rPr>
              <w:t>Quarterly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C6B3" w14:textId="77777777" w:rsidR="00124186" w:rsidRDefault="00000000">
            <w:r>
              <w:rPr>
                <w:color w:val="1A1A1A"/>
                <w:sz w:val="20"/>
                <w:szCs w:val="20"/>
              </w:rPr>
              <w:t>SLA review · security incident check · regulatory status · financial health · re-DDQ annually</w:t>
            </w:r>
          </w:p>
        </w:tc>
      </w:tr>
      <w:tr w:rsidR="00124186" w14:paraId="0D42C5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70ED" w14:textId="77777777" w:rsidR="00124186" w:rsidRDefault="00000000"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2982" w14:textId="77777777" w:rsidR="00124186" w:rsidRDefault="00000000">
            <w:r>
              <w:rPr>
                <w:color w:val="1A1A1A"/>
                <w:sz w:val="20"/>
                <w:szCs w:val="20"/>
              </w:rPr>
              <w:t>Semi-annual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5259" w14:textId="77777777" w:rsidR="00124186" w:rsidRDefault="00000000">
            <w:r>
              <w:rPr>
                <w:color w:val="1A1A1A"/>
                <w:sz w:val="20"/>
                <w:szCs w:val="20"/>
              </w:rPr>
              <w:t>SLA review · security posture check · licence verification · re-DDQ every 2 years</w:t>
            </w:r>
          </w:p>
        </w:tc>
      </w:tr>
      <w:tr w:rsidR="00124186" w14:paraId="7576EE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B5CC" w14:textId="77777777" w:rsidR="00124186" w:rsidRDefault="00000000">
            <w:r>
              <w:rPr>
                <w:b/>
                <w:bCs/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3320" w14:textId="77777777" w:rsidR="00124186" w:rsidRDefault="00000000">
            <w:r>
              <w:rPr>
                <w:color w:val="1A1A1A"/>
                <w:sz w:val="20"/>
                <w:szCs w:val="20"/>
              </w:rPr>
              <w:t>Annual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5D3E" w14:textId="77777777" w:rsidR="00124186" w:rsidRDefault="00000000">
            <w:r>
              <w:rPr>
                <w:color w:val="1A1A1A"/>
                <w:sz w:val="20"/>
                <w:szCs w:val="20"/>
              </w:rPr>
              <w:t>Contract review · performance check · self-certification of continued compliance</w:t>
            </w:r>
          </w:p>
        </w:tc>
      </w:tr>
      <w:tr w:rsidR="00124186" w14:paraId="532D09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57DE" w14:textId="77777777" w:rsidR="00124186" w:rsidRDefault="00000000">
            <w:r>
              <w:rPr>
                <w:b/>
                <w:bCs/>
                <w:color w:val="185FA5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D9DB" w14:textId="77777777" w:rsidR="00124186" w:rsidRDefault="00000000">
            <w:r>
              <w:rPr>
                <w:color w:val="1A1A1A"/>
                <w:sz w:val="20"/>
                <w:szCs w:val="20"/>
              </w:rPr>
              <w:t>Every 2 years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8A4A" w14:textId="77777777" w:rsidR="00124186" w:rsidRDefault="00000000">
            <w:r>
              <w:rPr>
                <w:color w:val="1A1A1A"/>
                <w:sz w:val="20"/>
                <w:szCs w:val="20"/>
              </w:rPr>
              <w:t>Contract renewal check · any adverse news monitoring</w:t>
            </w:r>
          </w:p>
        </w:tc>
      </w:tr>
    </w:tbl>
    <w:p w14:paraId="01D84488" w14:textId="77777777" w:rsidR="00124186" w:rsidRDefault="00124186">
      <w:pPr>
        <w:spacing w:before="60" w:after="60"/>
      </w:pPr>
    </w:p>
    <w:p w14:paraId="702693E7" w14:textId="77777777" w:rsidR="00CB6DC8" w:rsidRDefault="00CB6DC8">
      <w:pPr>
        <w:spacing w:before="60" w:after="60"/>
      </w:pPr>
    </w:p>
    <w:p w14:paraId="3E247BBD" w14:textId="77777777" w:rsidR="00CB6DC8" w:rsidRDefault="00CB6DC8">
      <w:pPr>
        <w:spacing w:before="60" w:after="60"/>
      </w:pPr>
    </w:p>
    <w:p w14:paraId="14DCA5FE" w14:textId="77777777" w:rsidR="00CB6DC8" w:rsidRDefault="00CB6DC8">
      <w:pPr>
        <w:spacing w:before="60" w:after="60"/>
      </w:pPr>
    </w:p>
    <w:p w14:paraId="60C9C85B" w14:textId="77777777" w:rsidR="00124186" w:rsidRDefault="00000000">
      <w:pPr>
        <w:pStyle w:val="Heading2"/>
      </w:pPr>
      <w:r>
        <w:lastRenderedPageBreak/>
        <w:t>4.4 Vendor Offboarding &amp; Exit</w:t>
      </w:r>
    </w:p>
    <w:p w14:paraId="381838AF" w14:textId="77777777" w:rsidR="00124186" w:rsidRDefault="00000000">
      <w:pPr>
        <w:spacing w:before="80" w:after="80"/>
      </w:pPr>
      <w:r>
        <w:rPr>
          <w:color w:val="1A1A1A"/>
        </w:rPr>
        <w:t>When a vendor relationship is terminated — whether planned or emergency — the following steps must be followed:</w:t>
      </w:r>
    </w:p>
    <w:p w14:paraId="14435217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Risk &amp; Compliance team is notified minimum 90 days before planned termination (or immediately for emergency exits)</w:t>
      </w:r>
    </w:p>
    <w:p w14:paraId="75B0FEE4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Vendor must return or destroy all FinSecure data within 30 days of termination — Certificate of Destruction required</w:t>
      </w:r>
    </w:p>
    <w:p w14:paraId="222F560F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system access is revoked on the last day of the contract</w:t>
      </w:r>
    </w:p>
    <w:p w14:paraId="0D054037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Exit interview conducted with vendor to identify any outstanding obligations</w:t>
      </w:r>
    </w:p>
    <w:p w14:paraId="1D7D2B64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Vendor Register is updated to reflect Offboarded status</w:t>
      </w:r>
    </w:p>
    <w:p w14:paraId="65F651A6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Post-exit review conducted 90 days after termination to confirm no residual data exposure</w:t>
      </w:r>
    </w:p>
    <w:p w14:paraId="35A74198" w14:textId="77777777" w:rsidR="00124186" w:rsidRDefault="00124186">
      <w:pPr>
        <w:spacing w:before="60" w:after="60"/>
      </w:pPr>
    </w:p>
    <w:p w14:paraId="6C8C3A75" w14:textId="77777777" w:rsidR="00124186" w:rsidRDefault="00000000">
      <w:pPr>
        <w:pStyle w:val="Heading1"/>
        <w:pBdr>
          <w:bottom w:val="single" w:sz="6" w:space="1" w:color="2E75B6"/>
        </w:pBdr>
      </w:pPr>
      <w:r>
        <w:t>5. Fourth-Party Risk Management</w:t>
      </w:r>
    </w:p>
    <w:p w14:paraId="5AAB9D54" w14:textId="77777777" w:rsidR="00124186" w:rsidRDefault="00000000">
      <w:pPr>
        <w:spacing w:before="80" w:after="80"/>
      </w:pPr>
      <w:r>
        <w:rPr>
          <w:color w:val="1A1A1A"/>
        </w:rPr>
        <w:t>Fourth-party vendors are sub-processors engaged by FinSecure's vendors. FinSecure remains responsible for risks introduced by fourth parties even though it has no direct contract with them.</w:t>
      </w:r>
    </w:p>
    <w:p w14:paraId="04BF7F0E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Critical and High tier vendors must disclose all sub-processors handling FinSecure data</w:t>
      </w:r>
    </w:p>
    <w:p w14:paraId="4179DFE7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FinSecure must approve any new sub-processor engagement by a Critical vendor</w:t>
      </w:r>
    </w:p>
    <w:p w14:paraId="7B8F7403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Critical vendors must contractually require their sub-processors to meet the same security standards</w:t>
      </w:r>
    </w:p>
    <w:p w14:paraId="496281CA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Any adverse event at a fourth-party level must be notified to FinSecure within 48 hours</w:t>
      </w:r>
    </w:p>
    <w:p w14:paraId="6319EF08" w14:textId="77777777" w:rsidR="00124186" w:rsidRDefault="00124186">
      <w:pPr>
        <w:spacing w:before="60" w:after="60"/>
      </w:pPr>
    </w:p>
    <w:p w14:paraId="74F3FF23" w14:textId="77777777" w:rsidR="00124186" w:rsidRDefault="00000000">
      <w:pPr>
        <w:pStyle w:val="Heading1"/>
        <w:pBdr>
          <w:bottom w:val="single" w:sz="6" w:space="1" w:color="2E75B6"/>
        </w:pBdr>
      </w:pPr>
      <w:r>
        <w:t>6. Concentration Risk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4186" w14:paraId="5D3F8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8FDDDF" w14:textId="77777777" w:rsidR="00124186" w:rsidRDefault="00000000">
            <w:r>
              <w:rPr>
                <w:i/>
                <w:iCs/>
                <w:color w:val="854F0B"/>
                <w:sz w:val="21"/>
                <w:szCs w:val="21"/>
              </w:rPr>
              <w:t>Concentration risk occurs when FinSecure is overly dependent on a single vendor for a critical service. FinSecure must ensure no single vendor accounts for more than 60% of any critical operational function. Where concentration risk is identified, a contingency plan must be developed and maintained.</w:t>
            </w:r>
          </w:p>
        </w:tc>
      </w:tr>
    </w:tbl>
    <w:p w14:paraId="6A14F728" w14:textId="77777777" w:rsidR="00124186" w:rsidRDefault="00124186">
      <w:pPr>
        <w:spacing w:before="60" w:after="60"/>
      </w:pPr>
    </w:p>
    <w:p w14:paraId="415ABC22" w14:textId="77777777" w:rsidR="00124186" w:rsidRDefault="00000000">
      <w:pPr>
        <w:spacing w:before="80" w:after="80"/>
      </w:pPr>
      <w:r>
        <w:rPr>
          <w:color w:val="1A1A1A"/>
        </w:rPr>
        <w:t>Current concentration risk flags at FinSecure:</w:t>
      </w:r>
    </w:p>
    <w:p w14:paraId="50F02ED4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Cloud infrastructure — 100% dependency on AWS. Contingency: multi-cloud strategy to be implemented by Q4 2024</w:t>
      </w:r>
    </w:p>
    <w:p w14:paraId="294169FC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Credit bureau — 70% dependency on CIBIL. Contingency: Experian as secondary bureau already active</w:t>
      </w:r>
    </w:p>
    <w:p w14:paraId="4D8BC2C3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Payment processing — 100% dependency on Razorpay. Contingency: PayU as backup gateway to be onboarded</w:t>
      </w:r>
    </w:p>
    <w:p w14:paraId="05BB80FE" w14:textId="77777777" w:rsidR="00124186" w:rsidRDefault="00124186">
      <w:pPr>
        <w:spacing w:before="60" w:after="60"/>
      </w:pPr>
    </w:p>
    <w:p w14:paraId="69AEC37F" w14:textId="77777777" w:rsidR="00CB6DC8" w:rsidRDefault="00CB6DC8">
      <w:pPr>
        <w:spacing w:before="60" w:after="60"/>
      </w:pPr>
    </w:p>
    <w:p w14:paraId="2F0798BC" w14:textId="77777777" w:rsidR="00CB6DC8" w:rsidRDefault="00CB6DC8">
      <w:pPr>
        <w:spacing w:before="60" w:after="60"/>
      </w:pPr>
    </w:p>
    <w:p w14:paraId="05505510" w14:textId="77777777" w:rsidR="00124186" w:rsidRDefault="00000000">
      <w:pPr>
        <w:pStyle w:val="Heading1"/>
        <w:pBdr>
          <w:bottom w:val="single" w:sz="6" w:space="1" w:color="2E75B6"/>
        </w:pBdr>
      </w:pPr>
      <w:r>
        <w:lastRenderedPageBreak/>
        <w:t>7. Regulatory &amp; Framework Alignment</w:t>
      </w:r>
    </w:p>
    <w:p w14:paraId="75DBF08B" w14:textId="77777777" w:rsidR="00124186" w:rsidRDefault="001241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124186" w14:paraId="5B320D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0B5F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Regulation /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ED30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Relevant Requirement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34B0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How This Policy Addresses It</w:t>
            </w:r>
          </w:p>
        </w:tc>
      </w:tr>
      <w:tr w:rsidR="00124186" w14:paraId="50609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C96B" w14:textId="77777777" w:rsidR="00124186" w:rsidRDefault="00000000">
            <w:r>
              <w:rPr>
                <w:color w:val="1A1A1A"/>
                <w:sz w:val="20"/>
                <w:szCs w:val="20"/>
              </w:rPr>
              <w:t>RBI Outsourcing Guidelines 2023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D92D" w14:textId="77777777" w:rsidR="00124186" w:rsidRDefault="00000000">
            <w:r>
              <w:rPr>
                <w:color w:val="1A1A1A"/>
                <w:sz w:val="20"/>
                <w:szCs w:val="20"/>
              </w:rPr>
              <w:t>Due diligence · monitoring · exit plans · Board oversight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5BE1" w14:textId="77777777" w:rsidR="00124186" w:rsidRDefault="00000000">
            <w:r>
              <w:rPr>
                <w:color w:val="1A1A1A"/>
                <w:sz w:val="20"/>
                <w:szCs w:val="20"/>
              </w:rPr>
              <w:t>Sections 4.1 · 4.3 · 4.4 · Section 3</w:t>
            </w:r>
          </w:p>
        </w:tc>
      </w:tr>
      <w:tr w:rsidR="00124186" w14:paraId="1508E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2AD2" w14:textId="77777777" w:rsidR="00124186" w:rsidRDefault="00000000">
            <w:r>
              <w:rPr>
                <w:color w:val="1A1A1A"/>
                <w:sz w:val="20"/>
                <w:szCs w:val="20"/>
              </w:rPr>
              <w:t>RBI NBFC Master Directions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7EB4" w14:textId="77777777" w:rsidR="00124186" w:rsidRDefault="00000000">
            <w:r>
              <w:rPr>
                <w:color w:val="1A1A1A"/>
                <w:sz w:val="20"/>
                <w:szCs w:val="20"/>
              </w:rPr>
              <w:t>Vendor risk management · regulatory reporting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6CA7" w14:textId="77777777" w:rsidR="00124186" w:rsidRDefault="00000000">
            <w:r>
              <w:rPr>
                <w:color w:val="1A1A1A"/>
                <w:sz w:val="20"/>
                <w:szCs w:val="20"/>
              </w:rPr>
              <w:t>Sections 3 · 4.1 · 6</w:t>
            </w:r>
          </w:p>
        </w:tc>
      </w:tr>
      <w:tr w:rsidR="00124186" w14:paraId="61D1A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E42" w14:textId="77777777" w:rsidR="00124186" w:rsidRDefault="00000000">
            <w:r>
              <w:rPr>
                <w:color w:val="1A1A1A"/>
                <w:sz w:val="20"/>
                <w:szCs w:val="20"/>
              </w:rPr>
              <w:t>ISO 27001:2022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E91C" w14:textId="77777777" w:rsidR="00124186" w:rsidRDefault="00000000">
            <w:r>
              <w:rPr>
                <w:color w:val="1A1A1A"/>
                <w:sz w:val="20"/>
                <w:szCs w:val="20"/>
              </w:rPr>
              <w:t>A.5.19 — Supplier relationships · A.5.22 — Monitoring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944F" w14:textId="77777777" w:rsidR="00124186" w:rsidRDefault="00000000">
            <w:r>
              <w:rPr>
                <w:color w:val="1A1A1A"/>
                <w:sz w:val="20"/>
                <w:szCs w:val="20"/>
              </w:rPr>
              <w:t>Sections 4.1 · 4.2 · 4.3</w:t>
            </w:r>
          </w:p>
        </w:tc>
      </w:tr>
      <w:tr w:rsidR="00124186" w14:paraId="33D13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532E" w14:textId="77777777" w:rsidR="00124186" w:rsidRDefault="00000000">
            <w:r>
              <w:rPr>
                <w:color w:val="1A1A1A"/>
                <w:sz w:val="20"/>
                <w:szCs w:val="20"/>
              </w:rPr>
              <w:t>ISO 27001:2022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EADF" w14:textId="77777777" w:rsidR="00124186" w:rsidRDefault="00000000">
            <w:r>
              <w:rPr>
                <w:color w:val="1A1A1A"/>
                <w:sz w:val="20"/>
                <w:szCs w:val="20"/>
              </w:rPr>
              <w:t>A.5.20 — Supplier agreements · A.5.21 — ICT supply chain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3AB6" w14:textId="77777777" w:rsidR="00124186" w:rsidRDefault="00000000">
            <w:r>
              <w:rPr>
                <w:color w:val="1A1A1A"/>
                <w:sz w:val="20"/>
                <w:szCs w:val="20"/>
              </w:rPr>
              <w:t>Section 4.2</w:t>
            </w:r>
          </w:p>
        </w:tc>
      </w:tr>
      <w:tr w:rsidR="00124186" w14:paraId="14990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1DBF" w14:textId="77777777" w:rsidR="00124186" w:rsidRDefault="00000000">
            <w:r>
              <w:rPr>
                <w:color w:val="1A1A1A"/>
                <w:sz w:val="20"/>
                <w:szCs w:val="20"/>
              </w:rPr>
              <w:t>DPDP Act 2023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2D03" w14:textId="77777777" w:rsidR="00124186" w:rsidRDefault="00000000">
            <w:r>
              <w:rPr>
                <w:color w:val="1A1A1A"/>
                <w:sz w:val="20"/>
                <w:szCs w:val="20"/>
              </w:rPr>
              <w:t>S.8(2) — Data processor obligations · consent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930C" w14:textId="77777777" w:rsidR="00124186" w:rsidRDefault="00000000">
            <w:r>
              <w:rPr>
                <w:color w:val="1A1A1A"/>
                <w:sz w:val="20"/>
                <w:szCs w:val="20"/>
              </w:rPr>
              <w:t>Section 4.2</w:t>
            </w:r>
          </w:p>
        </w:tc>
      </w:tr>
      <w:tr w:rsidR="00124186" w14:paraId="3BDD7D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4E4B" w14:textId="77777777" w:rsidR="00124186" w:rsidRDefault="00000000">
            <w:r>
              <w:rPr>
                <w:color w:val="1A1A1A"/>
                <w:sz w:val="20"/>
                <w:szCs w:val="20"/>
              </w:rPr>
              <w:t>PMLA 2002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7626" w14:textId="77777777" w:rsidR="00124186" w:rsidRDefault="00000000">
            <w:r>
              <w:rPr>
                <w:color w:val="1A1A1A"/>
                <w:sz w:val="20"/>
                <w:szCs w:val="20"/>
              </w:rPr>
              <w:t>AML obligations extend to vendor screening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8704" w14:textId="77777777" w:rsidR="00124186" w:rsidRDefault="00000000">
            <w:r>
              <w:rPr>
                <w:color w:val="1A1A1A"/>
                <w:sz w:val="20"/>
                <w:szCs w:val="20"/>
              </w:rPr>
              <w:t>Section 4.1</w:t>
            </w:r>
          </w:p>
        </w:tc>
      </w:tr>
    </w:tbl>
    <w:p w14:paraId="3B347591" w14:textId="77777777" w:rsidR="00124186" w:rsidRDefault="00124186">
      <w:pPr>
        <w:spacing w:before="60" w:after="60"/>
      </w:pPr>
    </w:p>
    <w:p w14:paraId="668F034E" w14:textId="77777777" w:rsidR="00124186" w:rsidRDefault="00000000">
      <w:pPr>
        <w:pStyle w:val="Heading1"/>
        <w:pBdr>
          <w:bottom w:val="single" w:sz="6" w:space="1" w:color="2E75B6"/>
        </w:pBdr>
      </w:pPr>
      <w:r>
        <w:t>8. Roles &amp; Responsibilities</w:t>
      </w:r>
    </w:p>
    <w:p w14:paraId="177EBA0E" w14:textId="77777777" w:rsidR="00124186" w:rsidRDefault="001241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4186" w14:paraId="74A08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6215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A5E7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24186" w14:paraId="14BBD9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2DD0" w14:textId="77777777" w:rsidR="00124186" w:rsidRDefault="00000000">
            <w:r>
              <w:rPr>
                <w:color w:val="1A1A1A"/>
                <w:sz w:val="20"/>
                <w:szCs w:val="20"/>
              </w:rPr>
              <w:t>Board of Directors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667E" w14:textId="77777777" w:rsidR="00124186" w:rsidRDefault="00000000">
            <w:r>
              <w:rPr>
                <w:color w:val="1A1A1A"/>
                <w:sz w:val="20"/>
                <w:szCs w:val="20"/>
              </w:rPr>
              <w:t>Approve this policy · Receive quarterly TPRM status report · Approve Critical vendor onboarding</w:t>
            </w:r>
          </w:p>
        </w:tc>
      </w:tr>
      <w:tr w:rsidR="00124186" w14:paraId="2676A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62F1" w14:textId="77777777" w:rsidR="00124186" w:rsidRDefault="00000000">
            <w:r>
              <w:rPr>
                <w:color w:val="1A1A1A"/>
                <w:sz w:val="20"/>
                <w:szCs w:val="20"/>
              </w:rPr>
              <w:t>Chief Risk Officer (CRO)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6182" w14:textId="77777777" w:rsidR="00124186" w:rsidRDefault="00000000">
            <w:r>
              <w:rPr>
                <w:color w:val="1A1A1A"/>
                <w:sz w:val="20"/>
                <w:szCs w:val="20"/>
              </w:rPr>
              <w:t>Own this policy · Oversee TPRM program · Escalate concentration risk to Board</w:t>
            </w:r>
          </w:p>
        </w:tc>
      </w:tr>
      <w:tr w:rsidR="00124186" w14:paraId="2651A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3842" w14:textId="77777777" w:rsidR="00124186" w:rsidRDefault="00000000">
            <w:r>
              <w:rPr>
                <w:color w:val="1A1A1A"/>
                <w:sz w:val="20"/>
                <w:szCs w:val="20"/>
              </w:rPr>
              <w:t>CISO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00FC" w14:textId="77777777" w:rsidR="00124186" w:rsidRDefault="00000000">
            <w:r>
              <w:rPr>
                <w:color w:val="1A1A1A"/>
                <w:sz w:val="20"/>
                <w:szCs w:val="20"/>
              </w:rPr>
              <w:t>Approve Critical and High tier vendor onboarding · Review security posture of all Critical vendors quarterly</w:t>
            </w:r>
          </w:p>
        </w:tc>
      </w:tr>
      <w:tr w:rsidR="00124186" w14:paraId="20BE5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FD5E" w14:textId="77777777" w:rsidR="00124186" w:rsidRDefault="00000000">
            <w:r>
              <w:rPr>
                <w:color w:val="1A1A1A"/>
                <w:sz w:val="20"/>
                <w:szCs w:val="20"/>
              </w:rPr>
              <w:t>Risk &amp; Compliance 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D850" w14:textId="77777777" w:rsidR="00124186" w:rsidRDefault="00000000">
            <w:r>
              <w:rPr>
                <w:color w:val="1A1A1A"/>
                <w:sz w:val="20"/>
                <w:szCs w:val="20"/>
              </w:rPr>
              <w:t>Run TPRM program · Score DDQs · Maintain Vendor Register · Conduct ongoing monitoring</w:t>
            </w:r>
          </w:p>
        </w:tc>
      </w:tr>
      <w:tr w:rsidR="00124186" w14:paraId="052EA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FB81" w14:textId="77777777" w:rsidR="00124186" w:rsidRDefault="00000000">
            <w:r>
              <w:rPr>
                <w:color w:val="1A1A1A"/>
                <w:sz w:val="20"/>
                <w:szCs w:val="20"/>
              </w:rPr>
              <w:t>Procurement 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4EB8" w14:textId="77777777" w:rsidR="00124186" w:rsidRDefault="00000000">
            <w:r>
              <w:rPr>
                <w:color w:val="1A1A1A"/>
                <w:sz w:val="20"/>
                <w:szCs w:val="20"/>
              </w:rPr>
              <w:t>Ensure no vendor is engaged without Risk &amp; Compliance sign-off · Include mandatory contract clauses</w:t>
            </w:r>
          </w:p>
        </w:tc>
      </w:tr>
      <w:tr w:rsidR="00124186" w14:paraId="10D9F8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4911" w14:textId="77777777" w:rsidR="00124186" w:rsidRDefault="00000000">
            <w:r>
              <w:rPr>
                <w:color w:val="1A1A1A"/>
                <w:sz w:val="20"/>
                <w:szCs w:val="20"/>
              </w:rPr>
              <w:t>Business Units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0790" w14:textId="77777777" w:rsidR="00124186" w:rsidRDefault="00000000">
            <w:r>
              <w:rPr>
                <w:color w:val="1A1A1A"/>
                <w:sz w:val="20"/>
                <w:szCs w:val="20"/>
              </w:rPr>
              <w:t>Submit Vendor Onboarding Requests · Notify Risk &amp; Compliance of any vendor performance issues</w:t>
            </w:r>
          </w:p>
        </w:tc>
      </w:tr>
      <w:tr w:rsidR="00124186" w14:paraId="170950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9F5C" w14:textId="77777777" w:rsidR="00124186" w:rsidRDefault="00000000">
            <w:r>
              <w:rPr>
                <w:color w:val="1A1A1A"/>
                <w:sz w:val="20"/>
                <w:szCs w:val="20"/>
              </w:rPr>
              <w:t>Legal 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4FEE" w14:textId="77777777" w:rsidR="00124186" w:rsidRDefault="00000000">
            <w:r>
              <w:rPr>
                <w:color w:val="1A1A1A"/>
                <w:sz w:val="20"/>
                <w:szCs w:val="20"/>
              </w:rPr>
              <w:t>Review and approve vendor contracts · Ensure mandatory clauses are included · Manage disputes</w:t>
            </w:r>
          </w:p>
        </w:tc>
      </w:tr>
      <w:tr w:rsidR="00124186" w14:paraId="047C0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0B0F" w14:textId="77777777" w:rsidR="00124186" w:rsidRDefault="00000000">
            <w:r>
              <w:rPr>
                <w:color w:val="1A1A1A"/>
                <w:sz w:val="20"/>
                <w:szCs w:val="20"/>
              </w:rPr>
              <w:t>Internal Audit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367C" w14:textId="77777777" w:rsidR="00124186" w:rsidRDefault="00000000">
            <w:r>
              <w:rPr>
                <w:color w:val="1A1A1A"/>
                <w:sz w:val="20"/>
                <w:szCs w:val="20"/>
              </w:rPr>
              <w:t>Independently verify TPRM program effectiveness annually · Report findings to Board</w:t>
            </w:r>
          </w:p>
        </w:tc>
      </w:tr>
    </w:tbl>
    <w:p w14:paraId="25F5F2EA" w14:textId="77777777" w:rsidR="00124186" w:rsidRDefault="00124186">
      <w:pPr>
        <w:spacing w:before="60" w:after="60"/>
      </w:pPr>
    </w:p>
    <w:p w14:paraId="7D70B463" w14:textId="77777777" w:rsidR="00CB6DC8" w:rsidRDefault="00CB6DC8">
      <w:pPr>
        <w:spacing w:before="60" w:after="60"/>
      </w:pPr>
    </w:p>
    <w:p w14:paraId="6774C6C2" w14:textId="77777777" w:rsidR="00124186" w:rsidRDefault="00000000">
      <w:pPr>
        <w:pStyle w:val="Heading1"/>
        <w:pBdr>
          <w:bottom w:val="single" w:sz="6" w:space="1" w:color="2E75B6"/>
        </w:pBdr>
      </w:pPr>
      <w:r>
        <w:lastRenderedPageBreak/>
        <w:t>9. TPRM Governance &amp; Reporting</w:t>
      </w:r>
    </w:p>
    <w:p w14:paraId="05F9F2D2" w14:textId="77777777" w:rsidR="00124186" w:rsidRDefault="00000000">
      <w:pPr>
        <w:spacing w:before="80" w:after="80"/>
      </w:pPr>
      <w:r>
        <w:rPr>
          <w:color w:val="1A1A1A"/>
        </w:rPr>
        <w:t>The following reporting structure ensures Board-level visibility of third-party risk:</w:t>
      </w:r>
    </w:p>
    <w:p w14:paraId="60E51CCE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Monthly — Risk &amp; Compliance team reviews vendor monitoring alerts and updates Vendor Register</w:t>
      </w:r>
    </w:p>
    <w:p w14:paraId="508F05B8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Quarterly — CRO presents TPRM status report to Board Risk Committee — includes tier summary, incidents, concentration risk, and upcoming reviews</w:t>
      </w:r>
    </w:p>
    <w:p w14:paraId="19DB397D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Annually — Full TPRM program review — all Critical vendors re-assessed · Policy reviewed and updated</w:t>
      </w:r>
    </w:p>
    <w:p w14:paraId="0A393B7E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 hoc — Any Critical vendor incident reported to CRO within 24 hours · Board notified within 48 hours</w:t>
      </w:r>
    </w:p>
    <w:p w14:paraId="50AC0466" w14:textId="77777777" w:rsidR="00124186" w:rsidRDefault="00124186">
      <w:pPr>
        <w:spacing w:before="60" w:after="60"/>
      </w:pPr>
    </w:p>
    <w:p w14:paraId="72319CA9" w14:textId="77777777" w:rsidR="00124186" w:rsidRDefault="00000000">
      <w:pPr>
        <w:pStyle w:val="Heading1"/>
        <w:pBdr>
          <w:bottom w:val="single" w:sz="6" w:space="1" w:color="2E75B6"/>
        </w:pBdr>
      </w:pPr>
      <w:r>
        <w:t>10. Policy Violations</w:t>
      </w:r>
    </w:p>
    <w:p w14:paraId="7453F6E7" w14:textId="77777777" w:rsidR="00124186" w:rsidRDefault="00000000">
      <w:pPr>
        <w:spacing w:before="80" w:after="80"/>
      </w:pPr>
      <w:r>
        <w:rPr>
          <w:color w:val="1A1A1A"/>
        </w:rPr>
        <w:t>Engaging a vendor without completing the required due diligence and approval process is a serious policy violation. Consequences include:</w:t>
      </w:r>
    </w:p>
    <w:p w14:paraId="5433F154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Immediate escalation to CRO and HR</w:t>
      </w:r>
    </w:p>
    <w:p w14:paraId="67BE15A1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Disciplinary action up to and including termination</w:t>
      </w:r>
    </w:p>
    <w:p w14:paraId="0250B3D5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Potential personal liability if the violation results in a data breach or regulatory fine</w:t>
      </w:r>
    </w:p>
    <w:p w14:paraId="6D0FACE5" w14:textId="77777777" w:rsidR="001241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unauthorised vendor relationship must be terminated or retroactively approved within 30 days</w:t>
      </w:r>
    </w:p>
    <w:p w14:paraId="0D68C814" w14:textId="77777777" w:rsidR="00124186" w:rsidRDefault="00124186">
      <w:pPr>
        <w:spacing w:before="60" w:after="60"/>
      </w:pPr>
    </w:p>
    <w:p w14:paraId="07D06DA1" w14:textId="77777777" w:rsidR="00124186" w:rsidRDefault="00000000">
      <w:pPr>
        <w:pStyle w:val="Heading1"/>
        <w:pBdr>
          <w:bottom w:val="single" w:sz="6" w:space="1" w:color="2E75B6"/>
        </w:pBdr>
      </w:pPr>
      <w:r>
        <w:t>11. Exceptions</w:t>
      </w:r>
    </w:p>
    <w:p w14:paraId="620A5C1A" w14:textId="77777777" w:rsidR="00124186" w:rsidRDefault="00000000">
      <w:pPr>
        <w:spacing w:before="80" w:after="80"/>
      </w:pPr>
      <w:r>
        <w:rPr>
          <w:color w:val="1A1A1A"/>
        </w:rPr>
        <w:t>Any exception to this policy — including emergency vendor onboarding — must be approved in writing by the CRO. Emergency onboarding may proceed with a 7-day abbreviated review, but full DDQ must be completed within 30 days. All exceptions are logged and reported to the Board quarterly.</w:t>
      </w:r>
    </w:p>
    <w:p w14:paraId="427C4E80" w14:textId="77777777" w:rsidR="00124186" w:rsidRDefault="00124186">
      <w:pPr>
        <w:spacing w:before="60" w:after="60"/>
      </w:pPr>
    </w:p>
    <w:p w14:paraId="35DC6469" w14:textId="77777777" w:rsidR="00124186" w:rsidRDefault="00000000">
      <w:pPr>
        <w:pStyle w:val="Heading1"/>
        <w:pBdr>
          <w:bottom w:val="single" w:sz="6" w:space="1" w:color="2E75B6"/>
        </w:pBdr>
      </w:pPr>
      <w:r>
        <w:t>12. Review &amp; Maintenance</w:t>
      </w:r>
    </w:p>
    <w:p w14:paraId="6304D6CD" w14:textId="77777777" w:rsidR="00124186" w:rsidRDefault="00000000">
      <w:pPr>
        <w:spacing w:before="80" w:after="80"/>
      </w:pPr>
      <w:r>
        <w:rPr>
          <w:color w:val="1A1A1A"/>
        </w:rPr>
        <w:t>This policy is reviewed annually or when triggered by: new RBI outsourcing guidelines, a major vendor incident, significant changes to FinSecure's vendor landscape, or changes to applicable regulations. The CRO is responsible for initiating the review.</w:t>
      </w:r>
    </w:p>
    <w:p w14:paraId="4BB15B53" w14:textId="77777777" w:rsidR="00124186" w:rsidRDefault="00124186">
      <w:pPr>
        <w:spacing w:before="60" w:after="60"/>
      </w:pPr>
    </w:p>
    <w:p w14:paraId="13D11B52" w14:textId="77777777" w:rsidR="00CB6DC8" w:rsidRDefault="00CB6DC8">
      <w:pPr>
        <w:spacing w:before="60" w:after="60"/>
      </w:pPr>
    </w:p>
    <w:p w14:paraId="3E79F701" w14:textId="77777777" w:rsidR="00CB6DC8" w:rsidRDefault="00CB6DC8">
      <w:pPr>
        <w:spacing w:before="60" w:after="60"/>
      </w:pPr>
    </w:p>
    <w:p w14:paraId="3E25347D" w14:textId="77777777" w:rsidR="00CB6DC8" w:rsidRDefault="00CB6DC8">
      <w:pPr>
        <w:spacing w:before="60" w:after="60"/>
      </w:pPr>
    </w:p>
    <w:p w14:paraId="30D4E5A0" w14:textId="77777777" w:rsidR="00CB6DC8" w:rsidRDefault="00CB6DC8">
      <w:pPr>
        <w:spacing w:before="60" w:after="60"/>
      </w:pPr>
    </w:p>
    <w:p w14:paraId="4DEC6B9A" w14:textId="77777777" w:rsidR="00CB6DC8" w:rsidRDefault="00CB6DC8">
      <w:pPr>
        <w:spacing w:before="60" w:after="60"/>
      </w:pPr>
    </w:p>
    <w:p w14:paraId="59F6D8D9" w14:textId="77777777" w:rsidR="00CB6DC8" w:rsidRDefault="00CB6DC8">
      <w:pPr>
        <w:spacing w:before="60" w:after="60"/>
      </w:pPr>
    </w:p>
    <w:p w14:paraId="6E096BB9" w14:textId="77777777" w:rsidR="00124186" w:rsidRDefault="00000000">
      <w:pPr>
        <w:pStyle w:val="Heading1"/>
        <w:pBdr>
          <w:bottom w:val="single" w:sz="6" w:space="1" w:color="2E75B6"/>
        </w:pBdr>
      </w:pPr>
      <w:r>
        <w:lastRenderedPageBreak/>
        <w:t>13. Document Control</w:t>
      </w:r>
    </w:p>
    <w:p w14:paraId="7A76799C" w14:textId="77777777" w:rsidR="00124186" w:rsidRDefault="001241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000"/>
        <w:gridCol w:w="3360"/>
      </w:tblGrid>
      <w:tr w:rsidR="00124186" w14:paraId="5C910F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5AF9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BB54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5A30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A0A8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124186" w14:paraId="603879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9263" w14:textId="77777777" w:rsidR="00124186" w:rsidRDefault="00000000">
            <w:r>
              <w:rPr>
                <w:color w:val="1A1A1A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B888" w14:textId="7327922C" w:rsidR="00124186" w:rsidRDefault="00000000">
            <w:r>
              <w:rPr>
                <w:color w:val="1A1A1A"/>
                <w:sz w:val="20"/>
                <w:szCs w:val="20"/>
              </w:rPr>
              <w:t>01 Jan 202</w:t>
            </w:r>
            <w:r w:rsidR="00CB6DC8"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07B6" w14:textId="77777777" w:rsidR="00124186" w:rsidRDefault="00000000">
            <w:r>
              <w:rPr>
                <w:color w:val="1A1A1A"/>
                <w:sz w:val="20"/>
                <w:szCs w:val="20"/>
              </w:rPr>
              <w:t>CRO — FinSecure Pvt Ltd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7D79" w14:textId="77777777" w:rsidR="00124186" w:rsidRDefault="00000000">
            <w:r>
              <w:rPr>
                <w:color w:val="1A1A1A"/>
                <w:sz w:val="20"/>
                <w:szCs w:val="20"/>
              </w:rPr>
              <w:t>Initial version — Board approved</w:t>
            </w:r>
          </w:p>
        </w:tc>
      </w:tr>
    </w:tbl>
    <w:p w14:paraId="718D949A" w14:textId="77777777" w:rsidR="00124186" w:rsidRDefault="00124186">
      <w:pPr>
        <w:spacing w:before="60" w:after="60"/>
      </w:pPr>
    </w:p>
    <w:p w14:paraId="5F8ACF4E" w14:textId="77777777" w:rsidR="00124186" w:rsidRDefault="00000000">
      <w:pPr>
        <w:pStyle w:val="Heading1"/>
        <w:pBdr>
          <w:bottom w:val="single" w:sz="6" w:space="1" w:color="2E75B6"/>
        </w:pBdr>
      </w:pPr>
      <w:r>
        <w:t>Board Approval &amp; Sign-off</w:t>
      </w:r>
    </w:p>
    <w:p w14:paraId="6B3FCACF" w14:textId="77777777" w:rsidR="00124186" w:rsidRDefault="001241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160"/>
        <w:gridCol w:w="2200"/>
      </w:tblGrid>
      <w:tr w:rsidR="00124186" w14:paraId="7094B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617C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964F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1A63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F897" w14:textId="77777777" w:rsidR="0012418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124186" w14:paraId="39E4F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ADC1" w14:textId="77777777" w:rsidR="00124186" w:rsidRDefault="00000000">
            <w:r>
              <w:rPr>
                <w:color w:val="1A1A1A"/>
                <w:sz w:val="20"/>
                <w:szCs w:val="20"/>
              </w:rPr>
              <w:t>Chief Risk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852C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F4CD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3436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</w:tr>
      <w:tr w:rsidR="00124186" w14:paraId="54E83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ACC0" w14:textId="77777777" w:rsidR="00124186" w:rsidRDefault="00000000">
            <w:r>
              <w:rPr>
                <w:color w:val="1A1A1A"/>
                <w:sz w:val="20"/>
                <w:szCs w:val="20"/>
              </w:rPr>
              <w:t>Chief Executive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057C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47AE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ABC4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</w:tr>
      <w:tr w:rsidR="00124186" w14:paraId="26AE5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D203" w14:textId="77777777" w:rsidR="00124186" w:rsidRDefault="00000000">
            <w:r>
              <w:rPr>
                <w:color w:val="1A1A1A"/>
                <w:sz w:val="20"/>
                <w:szCs w:val="20"/>
              </w:rPr>
              <w:t>Board Chair — Risk Committee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9A99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D3CB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0876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</w:tr>
      <w:tr w:rsidR="00124186" w14:paraId="149F7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CBD9" w14:textId="77777777" w:rsidR="00124186" w:rsidRDefault="00000000">
            <w:r>
              <w:rPr>
                <w:color w:val="1A1A1A"/>
                <w:sz w:val="20"/>
                <w:szCs w:val="20"/>
              </w:rPr>
              <w:t>Head of Compliance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FFD9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14A2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3470" w14:textId="77777777" w:rsidR="00124186" w:rsidRDefault="00000000">
            <w:r>
              <w:rPr>
                <w:color w:val="1A1A1A"/>
                <w:sz w:val="20"/>
                <w:szCs w:val="20"/>
              </w:rPr>
              <w:t>____________</w:t>
            </w:r>
          </w:p>
        </w:tc>
      </w:tr>
    </w:tbl>
    <w:p w14:paraId="45E1E742" w14:textId="77777777" w:rsidR="00124186" w:rsidRDefault="00124186">
      <w:pPr>
        <w:spacing w:before="60" w:after="60"/>
      </w:pPr>
    </w:p>
    <w:p w14:paraId="0671B87B" w14:textId="77777777" w:rsidR="00124186" w:rsidRDefault="00000000"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12418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26AE4" w14:textId="77777777" w:rsidR="00314733" w:rsidRDefault="00314733">
      <w:r>
        <w:separator/>
      </w:r>
    </w:p>
  </w:endnote>
  <w:endnote w:type="continuationSeparator" w:id="0">
    <w:p w14:paraId="2D9693C9" w14:textId="77777777" w:rsidR="00314733" w:rsidRDefault="00314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8D69" w14:textId="6A0863AC" w:rsidR="00124186" w:rsidRDefault="00000000">
    <w:pPr>
      <w:pBdr>
        <w:top w:val="single" w:sz="6" w:space="1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© 202</w:t>
    </w:r>
    <w:r w:rsidR="00CB6DC8">
      <w:rPr>
        <w:color w:val="888888"/>
        <w:sz w:val="18"/>
        <w:szCs w:val="18"/>
      </w:rPr>
      <w:t>6</w:t>
    </w:r>
    <w:r>
      <w:rPr>
        <w:color w:val="888888"/>
        <w:sz w:val="18"/>
        <w:szCs w:val="18"/>
      </w:rPr>
      <w:t xml:space="preserve"> FinSecure Pvt Ltd. Internal Use Only.   Page </w:t>
    </w:r>
    <w:r>
      <w:fldChar w:fldCharType="begin"/>
    </w:r>
    <w:r>
      <w:instrText>PAGE</w:instrText>
    </w:r>
    <w:r>
      <w:fldChar w:fldCharType="separate"/>
    </w:r>
    <w:r w:rsidR="00CB6D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FE78" w14:textId="77777777" w:rsidR="00314733" w:rsidRDefault="00314733">
      <w:r>
        <w:separator/>
      </w:r>
    </w:p>
  </w:footnote>
  <w:footnote w:type="continuationSeparator" w:id="0">
    <w:p w14:paraId="1AD422D0" w14:textId="77777777" w:rsidR="00314733" w:rsidRDefault="00314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95D9" w14:textId="77777777" w:rsidR="00124186" w:rsidRDefault="00000000">
    <w:pPr>
      <w:pBdr>
        <w:bottom w:val="single" w:sz="6" w:space="1" w:color="2E75B6"/>
      </w:pBdr>
      <w:spacing w:after="120"/>
    </w:pPr>
    <w:r>
      <w:rPr>
        <w:color w:val="888888"/>
        <w:sz w:val="18"/>
        <w:szCs w:val="18"/>
      </w:rPr>
      <w:t>FinSecure Pvt Ltd  |  Third-Party Risk Management Policy  |  v1.0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49B4"/>
    <w:multiLevelType w:val="hybridMultilevel"/>
    <w:tmpl w:val="698463DE"/>
    <w:lvl w:ilvl="0" w:tplc="BFF6DFA8">
      <w:start w:val="1"/>
      <w:numFmt w:val="bullet"/>
      <w:lvlText w:val="•"/>
      <w:lvlJc w:val="left"/>
      <w:pPr>
        <w:ind w:left="720" w:hanging="360"/>
      </w:pPr>
    </w:lvl>
    <w:lvl w:ilvl="1" w:tplc="F0C8EA36">
      <w:numFmt w:val="decimal"/>
      <w:lvlText w:val=""/>
      <w:lvlJc w:val="left"/>
    </w:lvl>
    <w:lvl w:ilvl="2" w:tplc="C1CE6DCC">
      <w:numFmt w:val="decimal"/>
      <w:lvlText w:val=""/>
      <w:lvlJc w:val="left"/>
    </w:lvl>
    <w:lvl w:ilvl="3" w:tplc="9F1C963A">
      <w:numFmt w:val="decimal"/>
      <w:lvlText w:val=""/>
      <w:lvlJc w:val="left"/>
    </w:lvl>
    <w:lvl w:ilvl="4" w:tplc="D9D8E542">
      <w:numFmt w:val="decimal"/>
      <w:lvlText w:val=""/>
      <w:lvlJc w:val="left"/>
    </w:lvl>
    <w:lvl w:ilvl="5" w:tplc="934A163E">
      <w:numFmt w:val="decimal"/>
      <w:lvlText w:val=""/>
      <w:lvlJc w:val="left"/>
    </w:lvl>
    <w:lvl w:ilvl="6" w:tplc="BA4EF918">
      <w:numFmt w:val="decimal"/>
      <w:lvlText w:val=""/>
      <w:lvlJc w:val="left"/>
    </w:lvl>
    <w:lvl w:ilvl="7" w:tplc="C76AAD62">
      <w:numFmt w:val="decimal"/>
      <w:lvlText w:val=""/>
      <w:lvlJc w:val="left"/>
    </w:lvl>
    <w:lvl w:ilvl="8" w:tplc="04CC8606">
      <w:numFmt w:val="decimal"/>
      <w:lvlText w:val=""/>
      <w:lvlJc w:val="left"/>
    </w:lvl>
  </w:abstractNum>
  <w:abstractNum w:abstractNumId="1" w15:restartNumberingAfterBreak="0">
    <w:nsid w:val="7CA2348B"/>
    <w:multiLevelType w:val="hybridMultilevel"/>
    <w:tmpl w:val="43882CD0"/>
    <w:lvl w:ilvl="0" w:tplc="80B05A1C">
      <w:start w:val="1"/>
      <w:numFmt w:val="bullet"/>
      <w:lvlText w:val="●"/>
      <w:lvlJc w:val="left"/>
      <w:pPr>
        <w:ind w:left="720" w:hanging="360"/>
      </w:pPr>
    </w:lvl>
    <w:lvl w:ilvl="1" w:tplc="3C60A7FC">
      <w:start w:val="1"/>
      <w:numFmt w:val="bullet"/>
      <w:lvlText w:val="○"/>
      <w:lvlJc w:val="left"/>
      <w:pPr>
        <w:ind w:left="1440" w:hanging="360"/>
      </w:pPr>
    </w:lvl>
    <w:lvl w:ilvl="2" w:tplc="E89A0C96">
      <w:start w:val="1"/>
      <w:numFmt w:val="bullet"/>
      <w:lvlText w:val="■"/>
      <w:lvlJc w:val="left"/>
      <w:pPr>
        <w:ind w:left="2160" w:hanging="360"/>
      </w:pPr>
    </w:lvl>
    <w:lvl w:ilvl="3" w:tplc="3E6288FE">
      <w:start w:val="1"/>
      <w:numFmt w:val="bullet"/>
      <w:lvlText w:val="●"/>
      <w:lvlJc w:val="left"/>
      <w:pPr>
        <w:ind w:left="2880" w:hanging="360"/>
      </w:pPr>
    </w:lvl>
    <w:lvl w:ilvl="4" w:tplc="0958CC70">
      <w:start w:val="1"/>
      <w:numFmt w:val="bullet"/>
      <w:lvlText w:val="○"/>
      <w:lvlJc w:val="left"/>
      <w:pPr>
        <w:ind w:left="3600" w:hanging="360"/>
      </w:pPr>
    </w:lvl>
    <w:lvl w:ilvl="5" w:tplc="70EA5CB6">
      <w:start w:val="1"/>
      <w:numFmt w:val="bullet"/>
      <w:lvlText w:val="■"/>
      <w:lvlJc w:val="left"/>
      <w:pPr>
        <w:ind w:left="4320" w:hanging="360"/>
      </w:pPr>
    </w:lvl>
    <w:lvl w:ilvl="6" w:tplc="0B1ED16E">
      <w:start w:val="1"/>
      <w:numFmt w:val="bullet"/>
      <w:lvlText w:val="●"/>
      <w:lvlJc w:val="left"/>
      <w:pPr>
        <w:ind w:left="5040" w:hanging="360"/>
      </w:pPr>
    </w:lvl>
    <w:lvl w:ilvl="7" w:tplc="F98E6F90">
      <w:start w:val="1"/>
      <w:numFmt w:val="bullet"/>
      <w:lvlText w:val="●"/>
      <w:lvlJc w:val="left"/>
      <w:pPr>
        <w:ind w:left="5760" w:hanging="360"/>
      </w:pPr>
    </w:lvl>
    <w:lvl w:ilvl="8" w:tplc="4B70825E">
      <w:start w:val="1"/>
      <w:numFmt w:val="bullet"/>
      <w:lvlText w:val="●"/>
      <w:lvlJc w:val="left"/>
      <w:pPr>
        <w:ind w:left="6480" w:hanging="360"/>
      </w:pPr>
    </w:lvl>
  </w:abstractNum>
  <w:num w:numId="1" w16cid:durableId="2004240208">
    <w:abstractNumId w:val="1"/>
    <w:lvlOverride w:ilvl="0">
      <w:startOverride w:val="1"/>
    </w:lvlOverride>
  </w:num>
  <w:num w:numId="2" w16cid:durableId="1863471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86"/>
    <w:rsid w:val="00124186"/>
    <w:rsid w:val="00314733"/>
    <w:rsid w:val="004C5035"/>
    <w:rsid w:val="00893640"/>
    <w:rsid w:val="00CB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3EBF"/>
  <w15:docId w15:val="{C1809407-0F72-40AB-843B-1DFEC098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6D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DC8"/>
  </w:style>
  <w:style w:type="paragraph" w:styleId="Footer">
    <w:name w:val="footer"/>
    <w:basedOn w:val="Normal"/>
    <w:link w:val="FooterChar"/>
    <w:uiPriority w:val="99"/>
    <w:unhideWhenUsed/>
    <w:rsid w:val="00CB6D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1535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Mandar Gangurde</cp:lastModifiedBy>
  <cp:revision>5</cp:revision>
  <dcterms:created xsi:type="dcterms:W3CDTF">2026-04-09T17:17:00Z</dcterms:created>
  <dcterms:modified xsi:type="dcterms:W3CDTF">2026-04-09T17:21:00Z</dcterms:modified>
</cp:coreProperties>
</file>