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aps/>
          <w:color w:val="1F4E79"/>
          <w:sz w:val="52"/>
          <w:szCs w:val="52"/>
        </w:rPr>
        <w:t xml:space="preserve">FINSECURE PVT LTD</w:t>
      </w:r>
    </w:p>
    <w:p>
      <w:pPr>
        <w:spacing w:before="0" w:after="120"/>
        <w:jc w:val="center"/>
      </w:pPr>
      <w:r>
        <w:rPr>
          <w:rFonts w:ascii="Arial" w:cs="Arial" w:eastAsia="Arial" w:hAnsi="Arial"/>
          <w:b/>
          <w:bCs/>
          <w:color w:val="2E75B6"/>
          <w:sz w:val="36"/>
          <w:szCs w:val="36"/>
        </w:rPr>
        <w:t xml:space="preserve">Data Privacy Policy</w:t>
      </w:r>
    </w:p>
    <w:p>
      <w:pPr>
        <w:spacing w:before="0" w:after="960"/>
        <w:jc w:val="center"/>
      </w:pPr>
      <w:r>
        <w:rPr>
          <w:rFonts w:ascii="Arial" w:cs="Arial" w:eastAsia="Arial" w:hAnsi="Arial"/>
          <w:color w:val="888888"/>
          <w:sz w:val="22"/>
          <w:szCs w:val="22"/>
        </w:rPr>
        <w:t xml:space="preserve">Version 1.0  |  2024  |  Confidential  |  DPDP Act 2023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Privacy Policy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FS-POL-DPP-002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Confidential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Protection Officer (DPO)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of Directors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January 2024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December 2024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Applicable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employees, contractors, and third parties of FinSecure Pvt Ltd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Regulatory Basis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Personal Data Protection Act 2023 (DPDP Act) · RBI KYC Master Directions · PMLA 2002</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1. Purpose</w:t>
      </w:r>
    </w:p>
    <w:p>
      <w:pPr>
        <w:spacing w:before="80" w:after="80"/>
      </w:pPr>
      <w:r>
        <w:rPr>
          <w:rFonts w:ascii="Arial" w:cs="Arial" w:eastAsia="Arial" w:hAnsi="Arial"/>
          <w:color w:val="1A1A1A"/>
          <w:sz w:val="22"/>
          <w:szCs w:val="22"/>
        </w:rPr>
        <w:t xml:space="preserve">This Data Privacy Policy establishes FinSecure Pvt Ltd's commitment to protecting the personal data of its customers, employees, and other data principals. It defines how personal data is collected, processed, stored, shared, and deleted in compliance with the Digital Personal Data Protection Act 2023 (DPDP Act) and other applicable regulations.</w:t>
      </w:r>
    </w:p>
    <w:p>
      <w:pPr>
        <w:spacing w:before="80" w:after="80"/>
      </w:pPr>
      <w:r>
        <w:rPr>
          <w:rFonts w:ascii="Arial" w:cs="Arial" w:eastAsia="Arial" w:hAnsi="Arial"/>
          <w:color w:val="1A1A1A"/>
          <w:sz w:val="22"/>
          <w:szCs w:val="22"/>
        </w:rPr>
        <w:t xml:space="preserve">FinSecure processes sensitive personal data including Aadhaar numbers, PAN cards, credit scores, and financial information of over 1,00,000 customers. Protecting this data is a legal obligation, a regulatory requirement, and a core business value.</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2. Scope</w:t>
      </w:r>
    </w:p>
    <w:p>
      <w:pPr>
        <w:spacing w:before="80" w:after="80"/>
      </w:pPr>
      <w:r>
        <w:rPr>
          <w:rFonts w:ascii="Arial" w:cs="Arial" w:eastAsia="Arial" w:hAnsi="Arial"/>
          <w:color w:val="1A1A1A"/>
          <w:sz w:val="22"/>
          <w:szCs w:val="22"/>
        </w:rPr>
        <w:t xml:space="preserve">This policy applies to all personal data processed by FinSecure Pvt Ltd including:</w:t>
      </w:r>
    </w:p>
    <w:p>
      <w:pPr>
        <w:pStyle w:val="ListParagraph"/>
        <w:numPr>
          <w:ilvl w:val="0"/>
          <w:numId w:val="2"/>
        </w:numPr>
        <w:spacing w:before="60" w:after="60"/>
      </w:pPr>
      <w:r>
        <w:rPr>
          <w:rFonts w:ascii="Arial" w:cs="Arial" w:eastAsia="Arial" w:hAnsi="Arial"/>
          <w:color w:val="1A1A1A"/>
          <w:sz w:val="22"/>
          <w:szCs w:val="22"/>
        </w:rPr>
        <w:t xml:space="preserve">Customer data collected during onboarding, loan processing, and collections</w:t>
      </w:r>
    </w:p>
    <w:p>
      <w:pPr>
        <w:pStyle w:val="ListParagraph"/>
        <w:numPr>
          <w:ilvl w:val="0"/>
          <w:numId w:val="2"/>
        </w:numPr>
        <w:spacing w:before="60" w:after="60"/>
      </w:pPr>
      <w:r>
        <w:rPr>
          <w:rFonts w:ascii="Arial" w:cs="Arial" w:eastAsia="Arial" w:hAnsi="Arial"/>
          <w:color w:val="1A1A1A"/>
          <w:sz w:val="22"/>
          <w:szCs w:val="22"/>
        </w:rPr>
        <w:t xml:space="preserve">Employee personal data maintained by HR</w:t>
      </w:r>
    </w:p>
    <w:p>
      <w:pPr>
        <w:pStyle w:val="ListParagraph"/>
        <w:numPr>
          <w:ilvl w:val="0"/>
          <w:numId w:val="2"/>
        </w:numPr>
        <w:spacing w:before="60" w:after="60"/>
      </w:pPr>
      <w:r>
        <w:rPr>
          <w:rFonts w:ascii="Arial" w:cs="Arial" w:eastAsia="Arial" w:hAnsi="Arial"/>
          <w:color w:val="1A1A1A"/>
          <w:sz w:val="22"/>
          <w:szCs w:val="22"/>
        </w:rPr>
        <w:t xml:space="preserve">Data processed by third-party vendors on behalf of FinSecure</w:t>
      </w:r>
    </w:p>
    <w:p>
      <w:pPr>
        <w:pStyle w:val="ListParagraph"/>
        <w:numPr>
          <w:ilvl w:val="0"/>
          <w:numId w:val="2"/>
        </w:numPr>
        <w:spacing w:before="60" w:after="60"/>
      </w:pPr>
      <w:r>
        <w:rPr>
          <w:rFonts w:ascii="Arial" w:cs="Arial" w:eastAsia="Arial" w:hAnsi="Arial"/>
          <w:color w:val="1A1A1A"/>
          <w:sz w:val="22"/>
          <w:szCs w:val="22"/>
        </w:rPr>
        <w:t xml:space="preserve">All data formats — digital databases, physical documents, and cloud storage</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3. Key Definitions</w:t>
      </w:r>
    </w:p>
    <w:p>
      <w:pPr>
        <w:spacing w:before="80" w:after="80"/>
      </w:pPr>
      <w:r>
        <w:rPr>
          <w:rFonts w:ascii="Arial" w:cs="Arial" w:eastAsia="Arial" w:hAnsi="Arial"/>
          <w:color w:val="1A1A1A"/>
          <w:sz w:val="22"/>
          <w:szCs w:val="22"/>
        </w:rPr>
        <w:t xml:space="preserve">As defined under the Digital Personal Data Protection Act 2023: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data about an individual who is identifiable by or in relation to such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Principal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individual to whom personal data relates (i.e., FinSecure's customers)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Fiduciary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that determines the purpose and means of processing personal data — FinSecure Pvt Ltd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Processor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Entity that processes personal data on behalf of the Data Fiduciary — FinSecure's vendors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specific, informed, unconditional, and unambiguous indication of agreement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Breach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Unauthorised processing, disclosure, alteration, or destruction of personal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Protection Officer — designated individual responsible for DPDP Act compliance</w:t>
            </w:r>
          </w:p>
        </w:tc>
      </w:tr>
    </w:tbl>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4. Personal Data Collected</w:t>
      </w:r>
    </w:p>
    <w:p>
      <w:pPr>
        <w:spacing w:before="80" w:after="80"/>
      </w:pPr>
      <w:r>
        <w:rPr>
          <w:rFonts w:ascii="Arial" w:cs="Arial" w:eastAsia="Arial" w:hAnsi="Arial"/>
          <w:color w:val="1A1A1A"/>
          <w:sz w:val="22"/>
          <w:szCs w:val="22"/>
        </w:rPr>
        <w:t xml:space="preserve">FinSecure collects and processes the following categories of personal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Elements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Legal Basis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 DOB, gender, photograph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verification, loan eligibility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 + Legal obligation (RBI KYC)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Identity Documents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Aadhaar number, PAN card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Identity verification, tax reporting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 obligation (RBI KYC Master Directions)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account, UPI ID, salary, credit score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 assessment and disbursement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 + Contract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 Data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 number, email, address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Communication, account management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Consent + Contract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Behavioural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usage, device fingerprint, location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detection, credit scoring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Repayment Data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EMI history, outstanding balance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Collections, credit reporting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Contract + Legal obligation</w:t>
            </w:r>
          </w:p>
        </w:tc>
      </w:tr>
    </w:tbl>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5. Rights of Data Principals</w:t>
      </w:r>
    </w:p>
    <w:p>
      <w:pPr>
        <w:spacing w:before="80" w:after="80"/>
      </w:pPr>
      <w:r>
        <w:rPr>
          <w:rFonts w:ascii="Arial" w:cs="Arial" w:eastAsia="Arial" w:hAnsi="Arial"/>
          <w:color w:val="1A1A1A"/>
          <w:sz w:val="22"/>
          <w:szCs w:val="22"/>
        </w:rPr>
        <w:t xml:space="preserve">Under the DPDP Act 2023, every FinSecure customer (Data Principal) has the following rights: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Exercise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FinSecure Response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 what data is collected and how it is used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DPO via app or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7 days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Right to Correction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correction of inaccurate personal data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Submit correction request via app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 7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Erasure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deletion of personal data no longer needed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erasure request via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30 days*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Right to Grievance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Raise a complaint about data processing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 Grievance Officer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Acknowledge in 48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Nominate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Nominate another person to exercise rights in case of death/incapacity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nomination 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7 days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Right to Withdraw Consent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Withdraw previously given consent at any time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Toggle in app settings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Immediate</w:t>
            </w:r>
          </w:p>
        </w:tc>
      </w:tr>
    </w:tbl>
    <w:p>
      <w:pPr>
        <w:spacing w:before="80" w:after="80"/>
      </w:pPr>
      <w:r>
        <w:t xml:space="preserve"/>
      </w:r>
    </w:p>
    <w:p>
      <w:pPr>
        <w:spacing w:before="80" w:after="80"/>
      </w:pPr>
      <w:r>
        <w:rPr>
          <w:rFonts w:ascii="Arial" w:cs="Arial" w:eastAsia="Arial" w:hAnsi="Arial"/>
          <w:color w:val="1A1A1A"/>
          <w:sz w:val="22"/>
          <w:szCs w:val="22"/>
        </w:rPr>
        <w:t xml:space="preserve">*Erasure requests may be declined where FinSecure is legally required to retain data (e.g., RBI mandates 5-year retention post loan closure).</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6. Consent Management</w:t>
      </w:r>
    </w:p>
    <w:p>
      <w:pPr>
        <w:pStyle w:val="Heading2"/>
        <w:spacing w:before="240" w:after="120"/>
      </w:pPr>
      <w:r>
        <w:rPr>
          <w:rFonts w:ascii="Arial" w:cs="Arial" w:eastAsia="Arial" w:hAnsi="Arial"/>
          <w:b/>
          <w:bCs/>
          <w:color w:val="2E75B6"/>
          <w:sz w:val="24"/>
          <w:szCs w:val="24"/>
        </w:rPr>
        <w:t xml:space="preserve">6.1 Obtaining Consent</w:t>
      </w:r>
    </w:p>
    <w:p>
      <w:pPr>
        <w:pStyle w:val="ListParagraph"/>
        <w:numPr>
          <w:ilvl w:val="0"/>
          <w:numId w:val="2"/>
        </w:numPr>
        <w:spacing w:before="60" w:after="60"/>
      </w:pPr>
      <w:r>
        <w:rPr>
          <w:rFonts w:ascii="Arial" w:cs="Arial" w:eastAsia="Arial" w:hAnsi="Arial"/>
          <w:color w:val="1A1A1A"/>
          <w:sz w:val="22"/>
          <w:szCs w:val="22"/>
        </w:rPr>
        <w:t xml:space="preserve">Explicit consent is collected from every customer at onboarding before any personal data is processed</w:t>
      </w:r>
    </w:p>
    <w:p>
      <w:pPr>
        <w:pStyle w:val="ListParagraph"/>
        <w:numPr>
          <w:ilvl w:val="0"/>
          <w:numId w:val="2"/>
        </w:numPr>
        <w:spacing w:before="60" w:after="60"/>
      </w:pPr>
      <w:r>
        <w:rPr>
          <w:rFonts w:ascii="Arial" w:cs="Arial" w:eastAsia="Arial" w:hAnsi="Arial"/>
          <w:color w:val="1A1A1A"/>
          <w:sz w:val="22"/>
          <w:szCs w:val="22"/>
        </w:rPr>
        <w:t xml:space="preserve">Consent is obtained through a clear, plain-language consent notice in the FinSecure app</w:t>
      </w:r>
    </w:p>
    <w:p>
      <w:pPr>
        <w:pStyle w:val="ListParagraph"/>
        <w:numPr>
          <w:ilvl w:val="0"/>
          <w:numId w:val="2"/>
        </w:numPr>
        <w:spacing w:before="60" w:after="60"/>
      </w:pPr>
      <w:r>
        <w:rPr>
          <w:rFonts w:ascii="Arial" w:cs="Arial" w:eastAsia="Arial" w:hAnsi="Arial"/>
          <w:color w:val="1A1A1A"/>
          <w:sz w:val="22"/>
          <w:szCs w:val="22"/>
        </w:rPr>
        <w:t xml:space="preserve">Consent is granular — customers can choose what data they consent to share</w:t>
      </w:r>
    </w:p>
    <w:p>
      <w:pPr>
        <w:pStyle w:val="ListParagraph"/>
        <w:numPr>
          <w:ilvl w:val="0"/>
          <w:numId w:val="2"/>
        </w:numPr>
        <w:spacing w:before="60" w:after="60"/>
      </w:pPr>
      <w:r>
        <w:rPr>
          <w:rFonts w:ascii="Arial" w:cs="Arial" w:eastAsia="Arial" w:hAnsi="Arial"/>
          <w:color w:val="1A1A1A"/>
          <w:sz w:val="22"/>
          <w:szCs w:val="22"/>
        </w:rPr>
        <w:t xml:space="preserve">Bundled consent (forcing consent for all or nothing) is not used</w:t>
      </w:r>
    </w:p>
    <w:p>
      <w:pPr>
        <w:pStyle w:val="ListParagraph"/>
        <w:numPr>
          <w:ilvl w:val="0"/>
          <w:numId w:val="2"/>
        </w:numPr>
        <w:spacing w:before="60" w:after="60"/>
      </w:pPr>
      <w:r>
        <w:rPr>
          <w:rFonts w:ascii="Arial" w:cs="Arial" w:eastAsia="Arial" w:hAnsi="Arial"/>
          <w:color w:val="1A1A1A"/>
          <w:sz w:val="22"/>
          <w:szCs w:val="22"/>
        </w:rPr>
        <w:t xml:space="preserve">Consent records are stored with timestamp, version of privacy notice, and customer ID</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6.2 Withdrawing Consent</w:t>
      </w:r>
    </w:p>
    <w:p>
      <w:pPr>
        <w:pStyle w:val="ListParagraph"/>
        <w:numPr>
          <w:ilvl w:val="0"/>
          <w:numId w:val="2"/>
        </w:numPr>
        <w:spacing w:before="60" w:after="60"/>
      </w:pPr>
      <w:r>
        <w:rPr>
          <w:rFonts w:ascii="Arial" w:cs="Arial" w:eastAsia="Arial" w:hAnsi="Arial"/>
          <w:color w:val="1A1A1A"/>
          <w:sz w:val="22"/>
          <w:szCs w:val="22"/>
        </w:rPr>
        <w:t xml:space="preserve">Customers can withdraw consent at any time through the app settings</w:t>
      </w:r>
    </w:p>
    <w:p>
      <w:pPr>
        <w:pStyle w:val="ListParagraph"/>
        <w:numPr>
          <w:ilvl w:val="0"/>
          <w:numId w:val="2"/>
        </w:numPr>
        <w:spacing w:before="60" w:after="60"/>
      </w:pPr>
      <w:r>
        <w:rPr>
          <w:rFonts w:ascii="Arial" w:cs="Arial" w:eastAsia="Arial" w:hAnsi="Arial"/>
          <w:color w:val="1A1A1A"/>
          <w:sz w:val="22"/>
          <w:szCs w:val="22"/>
        </w:rPr>
        <w:t xml:space="preserve">Withdrawal of consent will not affect the lawfulness of processing done before withdrawal</w:t>
      </w:r>
    </w:p>
    <w:p>
      <w:pPr>
        <w:pStyle w:val="ListParagraph"/>
        <w:numPr>
          <w:ilvl w:val="0"/>
          <w:numId w:val="2"/>
        </w:numPr>
        <w:spacing w:before="60" w:after="60"/>
      </w:pPr>
      <w:r>
        <w:rPr>
          <w:rFonts w:ascii="Arial" w:cs="Arial" w:eastAsia="Arial" w:hAnsi="Arial"/>
          <w:color w:val="1A1A1A"/>
          <w:sz w:val="22"/>
          <w:szCs w:val="22"/>
        </w:rPr>
        <w:t xml:space="preserve">Upon withdrawal, FinSecure will stop processing the relevant data within 72 hours</w:t>
      </w:r>
    </w:p>
    <w:p>
      <w:pPr>
        <w:pStyle w:val="ListParagraph"/>
        <w:numPr>
          <w:ilvl w:val="0"/>
          <w:numId w:val="2"/>
        </w:numPr>
        <w:spacing w:before="60" w:after="60"/>
      </w:pPr>
      <w:r>
        <w:rPr>
          <w:rFonts w:ascii="Arial" w:cs="Arial" w:eastAsia="Arial" w:hAnsi="Arial"/>
          <w:color w:val="1A1A1A"/>
          <w:sz w:val="22"/>
          <w:szCs w:val="22"/>
        </w:rPr>
        <w:t xml:space="preserve">Withdrawal may affect the customer's ability to access certain services</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7. Data Minimisation &amp; Retention</w:t>
      </w:r>
    </w:p>
    <w:p>
      <w:pPr>
        <w:pStyle w:val="Heading2"/>
        <w:spacing w:before="240" w:after="120"/>
      </w:pPr>
      <w:r>
        <w:rPr>
          <w:rFonts w:ascii="Arial" w:cs="Arial" w:eastAsia="Arial" w:hAnsi="Arial"/>
          <w:b/>
          <w:bCs/>
          <w:color w:val="2E75B6"/>
          <w:sz w:val="24"/>
          <w:szCs w:val="24"/>
        </w:rPr>
        <w:t xml:space="preserve">7.1 Data Minimisation</w:t>
      </w:r>
    </w:p>
    <w:p>
      <w:pPr>
        <w:spacing w:before="80" w:after="80"/>
      </w:pPr>
      <w:r>
        <w:rPr>
          <w:rFonts w:ascii="Arial" w:cs="Arial" w:eastAsia="Arial" w:hAnsi="Arial"/>
          <w:color w:val="1A1A1A"/>
          <w:sz w:val="22"/>
          <w:szCs w:val="22"/>
        </w:rPr>
        <w:t xml:space="preserve">FinSecure collects only the minimum personal data necessary for the stated purpose. Collection of excessive or irrelevant data is prohibited.</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7.2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documents (Aadhaar, PAN)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years post loan closure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RBI KYC Master Directions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Loan application data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years post loan closure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RBI NBFC Master Directions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years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PMLA 2002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communication logs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years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personal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 post exit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Labour law compliance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logs &amp; access records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year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27001 A.8.15</w:t>
            </w:r>
          </w:p>
        </w:tc>
      </w:tr>
    </w:tbl>
    <w:p>
      <w:pPr>
        <w:spacing w:before="80" w:after="80"/>
      </w:pPr>
      <w:r>
        <w:t xml:space="preserve"/>
      </w:r>
    </w:p>
    <w:p>
      <w:pPr>
        <w:spacing w:before="80" w:after="80"/>
      </w:pPr>
      <w:r>
        <w:rPr>
          <w:rFonts w:ascii="Arial" w:cs="Arial" w:eastAsia="Arial" w:hAnsi="Arial"/>
          <w:color w:val="1A1A1A"/>
          <w:sz w:val="22"/>
          <w:szCs w:val="22"/>
        </w:rPr>
        <w:t xml:space="preserve">Upon expiry of the retention period, personal data must be securely deleted or anonymised. Deletion must be logged and verified by the DPO.</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8. Data Sharing &amp; Third Parties</w:t>
      </w:r>
    </w:p>
    <w:p>
      <w:pPr>
        <w:spacing w:before="80" w:after="80"/>
      </w:pPr>
      <w:r>
        <w:rPr>
          <w:rFonts w:ascii="Arial" w:cs="Arial" w:eastAsia="Arial" w:hAnsi="Arial"/>
          <w:color w:val="1A1A1A"/>
          <w:sz w:val="22"/>
          <w:szCs w:val="22"/>
        </w:rPr>
        <w:t xml:space="preserve">FinSecure may share personal data with the following categories of third parties: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Third Party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Shared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Safeguard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Bureaus (CIBIL, Experian)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PAN, loan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scoring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RBI regulated · Data sharing agreement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(Cloud Provider)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customer data (encrypted)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 hosting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DPA · Encryption at rest and transit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Gateway (Razorpay/PayU)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account, UPI 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 disbursement &amp; repayment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PCI-DSS certified · Contract clauses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RBI / FIU-IND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data, KYC data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Regulatory reporting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 obligation — PMLA, RBI directions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Enforcement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required by court order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Court order / legal notice required</w:t>
            </w:r>
          </w:p>
        </w:tc>
      </w:tr>
    </w:tbl>
    <w:p>
      <w:pPr>
        <w:spacing w:before="80" w:after="80"/>
      </w:pPr>
      <w:r>
        <w:t xml:space="preserve"/>
      </w:r>
    </w:p>
    <w:p>
      <w:pPr>
        <w:spacing w:before="80" w:after="80"/>
      </w:pPr>
      <w:r>
        <w:rPr>
          <w:rFonts w:ascii="Arial" w:cs="Arial" w:eastAsia="Arial" w:hAnsi="Arial"/>
          <w:color w:val="1A1A1A"/>
          <w:sz w:val="22"/>
          <w:szCs w:val="22"/>
        </w:rPr>
        <w:t xml:space="preserve">FinSecure does not sell personal data to any third party for commercial purposes.</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9. Data Breach Management</w:t>
      </w:r>
    </w:p>
    <w:p>
      <w:pPr>
        <w:spacing w:before="80" w:after="80"/>
      </w:pPr>
      <w:r>
        <w:rPr>
          <w:rFonts w:ascii="Arial" w:cs="Arial" w:eastAsia="Arial" w:hAnsi="Arial"/>
          <w:color w:val="1A1A1A"/>
          <w:sz w:val="22"/>
          <w:szCs w:val="22"/>
        </w:rPr>
        <w:t xml:space="preserve">In the event of a personal data breach, FinSecure will: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32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Detect &amp; Contain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the breach, isolate affected systems, stop further data 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upon detection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 Assess Impact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Determine what data was affected, how many customers impacted, severity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 6 hours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Notify RBI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major cyber incidents to RBI per NBFC cyber guidelines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6 hours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 Notify Data Board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 breach to Data Protection Board of India (when operational)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 per DPDP Act rules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Notify Customers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 affected customers about the breach and steps taken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Without undue delay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 Root Cause Analysis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Investigate how the breach occurred and implement corrective controls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 30 days</w:t>
            </w:r>
          </w:p>
        </w:tc>
      </w:tr>
    </w:tbl>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10. Roles &amp; Responsibilities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Protection Officer (DPO)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this policy. Oversee DPDP Act compliance. Handle grievances. Report to Board quarterly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 of Directors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Approve data privacy strategy. Ensure adequate resources for compliance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&amp; Compliance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regulatory changes. Ensure contracts include data protection clauses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InfoSec Team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technical controls for data protection. Manage breaches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Privacy by Design in app features. Manage consent flows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 employee data per this policy. Enforce policy during onboarding and exit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Employees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 personal data per this policy. Report breaches immediately to DPO</w:t>
            </w:r>
          </w:p>
        </w:tc>
      </w:tr>
    </w:tbl>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11. Privacy by Design</w:t>
      </w:r>
    </w:p>
    <w:p>
      <w:pPr>
        <w:spacing w:before="80" w:after="80"/>
      </w:pPr>
      <w:r>
        <w:rPr>
          <w:rFonts w:ascii="Arial" w:cs="Arial" w:eastAsia="Arial" w:hAnsi="Arial"/>
          <w:color w:val="1A1A1A"/>
          <w:sz w:val="22"/>
          <w:szCs w:val="22"/>
        </w:rPr>
        <w:t xml:space="preserve">FinSecure embeds privacy into its products and processes from the start — not as an afterthought. Privacy by Design principles applied:</w:t>
      </w:r>
    </w:p>
    <w:p>
      <w:pPr>
        <w:pStyle w:val="ListParagraph"/>
        <w:numPr>
          <w:ilvl w:val="0"/>
          <w:numId w:val="2"/>
        </w:numPr>
        <w:spacing w:before="60" w:after="60"/>
      </w:pPr>
      <w:r>
        <w:rPr>
          <w:rFonts w:ascii="Arial" w:cs="Arial" w:eastAsia="Arial" w:hAnsi="Arial"/>
          <w:color w:val="1A1A1A"/>
          <w:sz w:val="22"/>
          <w:szCs w:val="22"/>
        </w:rPr>
        <w:t xml:space="preserve">Proactive, not reactive — privacy risks are identified before product features are built</w:t>
      </w:r>
    </w:p>
    <w:p>
      <w:pPr>
        <w:pStyle w:val="ListParagraph"/>
        <w:numPr>
          <w:ilvl w:val="0"/>
          <w:numId w:val="2"/>
        </w:numPr>
        <w:spacing w:before="60" w:after="60"/>
      </w:pPr>
      <w:r>
        <w:rPr>
          <w:rFonts w:ascii="Arial" w:cs="Arial" w:eastAsia="Arial" w:hAnsi="Arial"/>
          <w:color w:val="1A1A1A"/>
          <w:sz w:val="22"/>
          <w:szCs w:val="22"/>
        </w:rPr>
        <w:t xml:space="preserve">Privacy as the default setting — maximum privacy protection is the default, not opt-in</w:t>
      </w:r>
    </w:p>
    <w:p>
      <w:pPr>
        <w:pStyle w:val="ListParagraph"/>
        <w:numPr>
          <w:ilvl w:val="0"/>
          <w:numId w:val="2"/>
        </w:numPr>
        <w:spacing w:before="60" w:after="60"/>
      </w:pPr>
      <w:r>
        <w:rPr>
          <w:rFonts w:ascii="Arial" w:cs="Arial" w:eastAsia="Arial" w:hAnsi="Arial"/>
          <w:color w:val="1A1A1A"/>
          <w:sz w:val="22"/>
          <w:szCs w:val="22"/>
        </w:rPr>
        <w:t xml:space="preserve">Full functionality — privacy is not traded off against security or business needs</w:t>
      </w:r>
    </w:p>
    <w:p>
      <w:pPr>
        <w:pStyle w:val="ListParagraph"/>
        <w:numPr>
          <w:ilvl w:val="0"/>
          <w:numId w:val="2"/>
        </w:numPr>
        <w:spacing w:before="60" w:after="60"/>
      </w:pPr>
      <w:r>
        <w:rPr>
          <w:rFonts w:ascii="Arial" w:cs="Arial" w:eastAsia="Arial" w:hAnsi="Arial"/>
          <w:color w:val="1A1A1A"/>
          <w:sz w:val="22"/>
          <w:szCs w:val="22"/>
        </w:rPr>
        <w:t xml:space="preserve">End-to-end security — data is protected throughout its entire lifecycle</w:t>
      </w:r>
    </w:p>
    <w:p>
      <w:pPr>
        <w:pStyle w:val="ListParagraph"/>
        <w:numPr>
          <w:ilvl w:val="0"/>
          <w:numId w:val="2"/>
        </w:numPr>
        <w:spacing w:before="60" w:after="60"/>
      </w:pPr>
      <w:r>
        <w:rPr>
          <w:rFonts w:ascii="Arial" w:cs="Arial" w:eastAsia="Arial" w:hAnsi="Arial"/>
          <w:color w:val="1A1A1A"/>
          <w:sz w:val="22"/>
          <w:szCs w:val="22"/>
        </w:rPr>
        <w:t xml:space="preserve">Visibility and transparency — customers always know what data is collected and why</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12. Regulatory &amp; Framework Alignment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Regulation / Framework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Relevant Sections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This Policy Addresses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DPDP Act 2023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S.6 (Consent), S.8 (Obligations), S.13 (Breach), S.14 (Rights)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Sections 5, 6, 7, 9 of this policy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RBI KYC Master Directions 2016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identification, record keeping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Sections 4, 7 of this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RBI NBFC Master Directions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retention, regulatory reporting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Sections 7, 9 of this policy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PMLA 2002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5-year retention, STR filing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7 of this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27001:2022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A.5.34 (Privacy), A.8.10 (Data deletion)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Sections 6, 7, 9 of this policy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PCI-DSS v4.0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R3 (Data protection), R7 (Access control)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Sections 4, 8 of this policy</w:t>
            </w:r>
          </w:p>
        </w:tc>
      </w:tr>
    </w:tbl>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13. Policy Violations</w:t>
      </w:r>
    </w:p>
    <w:p>
      <w:pPr>
        <w:spacing w:before="80" w:after="80"/>
      </w:pPr>
      <w:r>
        <w:rPr>
          <w:rFonts w:ascii="Arial" w:cs="Arial" w:eastAsia="Arial" w:hAnsi="Arial"/>
          <w:color w:val="1A1A1A"/>
          <w:sz w:val="22"/>
          <w:szCs w:val="22"/>
        </w:rPr>
        <w:t xml:space="preserve">Violations of this policy may result in disciplinary action, termination, and personal liability under the DPDP Act 2023. Financial penalties under the DPDP Act can reach up to INR 250 Crore per violation. All violations must be reported to the DPO immediately.</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14. Review &amp; Maintenance</w:t>
      </w:r>
    </w:p>
    <w:p>
      <w:pPr>
        <w:spacing w:before="80" w:after="80"/>
      </w:pPr>
      <w:r>
        <w:rPr>
          <w:rFonts w:ascii="Arial" w:cs="Arial" w:eastAsia="Arial" w:hAnsi="Arial"/>
          <w:color w:val="1A1A1A"/>
          <w:sz w:val="22"/>
          <w:szCs w:val="22"/>
        </w:rPr>
        <w:t xml:space="preserve">This policy is reviewed annually or when triggered by regulatory changes (new DPDP rules, RBI circulars), major incidents, or significant changes to FinSecure's data processing activities. The DPO is responsible for initiating and completing the review.</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15. Contact — Data Protection Officer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DPO — FinSecure Pvt Ltd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dpo@finsecure.in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FinSecure Pvt Ltd, Pune, Maharashtra, India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Grievance Portal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in FinSecure app under Settings &gt; Privacy &gt; Raise Grievance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Response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Acknowledgement within 48 hours · Resolution within 30 days</w:t>
            </w:r>
          </w:p>
        </w:tc>
      </w:tr>
    </w:tbl>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16. Document Control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Jan 2024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DPO — FinSecure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version — approved by Board</w:t>
            </w:r>
          </w:p>
        </w:tc>
      </w:tr>
    </w:tbl>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28"/>
          <w:szCs w:val="28"/>
        </w:rPr>
        <w:t xml:space="preserve">Approval &amp; Sign-off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60"/>
        <w:gridCol w:w="2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Protection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Chief Executive Officer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of Legal &amp;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 Representative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____________</w:t>
            </w:r>
          </w:p>
        </w:tc>
      </w:tr>
    </w:tbl>
    <w:p>
      <w:pPr>
        <w:spacing w:before="80" w:after="80"/>
      </w:pPr>
      <w:r>
        <w:t xml:space="preserve"/>
      </w:r>
    </w:p>
    <w:p>
      <w:pPr>
        <w:spacing w:before="48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88888"/>
        <w:sz w:val="18"/>
        <w:szCs w:val="18"/>
      </w:rPr>
      <w:t xml:space="preserve">© 2024 FinSecure Pvt Ltd. Internal Use Only.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88888"/>
        <w:sz w:val="18"/>
        <w:szCs w:val="18"/>
      </w:rPr>
      <w:t xml:space="preserve">FinSecure Pvt Ltd  |  Data Privacy Policy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2026-03-26T17:29:28.427Z</dcterms:created>
  <dcterms:modified xsi:type="dcterms:W3CDTF">2026-03-26T17:29:28.428Z</dcterms:modified>
</cp:coreProperties>
</file>

<file path=docProps/custom.xml><?xml version="1.0" encoding="utf-8"?>
<Properties xmlns="http://schemas.openxmlformats.org/officeDocument/2006/custom-properties" xmlns:vt="http://schemas.openxmlformats.org/officeDocument/2006/docPropsVTypes"/>
</file>