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Final · Bloques 1–8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A · Convocatoria de enero de 2027 · Duración: 3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(2,4 puntos; 12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+0,19999999999999998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Según De Silva, la mecatrónica es la aplicación sinérgica de mecánica, electrónica, control e informática. ¿Qué significa aquí «sinérgica»?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Que cada subsistema lo diseña un especialista de ese dominio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Que los subsistemas se conciben y optimizan conjuntamente desde el inicio del diseño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Que el producto final contiene componentes de todos los dominios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Que la electrónica sustituye progresivamente a la mecánica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El primer robot industrial (Unimate) entró en producción en 1961 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Una planta de General Motors en Nueva Jersey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Los laboratorios Bell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cadena de montaje de Toyota en Nagoya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Una fábrica textil de Lyon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La cifra estrella de los catálogos de robots industriales es la repetibilidad. La exactitud…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está definida para robots de 6 ejes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Es mejor que la repetibilidad gracias a la calibración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Es en general peor, y es la que importa al programar fuera de línea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Es siempre igual a la repetibilidad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Para Fraden, un sensor es un dispositivo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Recibe un estímulo y responde con una señal eléctrica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Amplifica señales débiles para el conversor A/D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Convierte cualquier energía en movimiento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Almacena la medida en memoria digital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El factor de galga expresa…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tensión de alimentación óptima del puente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cambio relativo de resistencia por unidad de deformación (dR/R = Se·ε)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sensibilidad térmica del adhesivo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fuerza máxima que soporta la galga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La convención de Denavit-Hartenberg describe cada eslabón con…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6 parámetros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2 parámetros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3 parámetros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4 parámetros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La función de transferencia de un motor DC en velocidad es de primer orden. Al controlar posición…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constante de tiempo se duplica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Aparece un cero en el origen que acelera la respuesta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sistema pasa a ser de orden cero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 añade un integrador: un polo en s = 0, al borde de la estabilidad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La condición de controlabilidad de Kalman exige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Todos los polos sean reales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 sea invertible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B tenga tantas columnas como estados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matriz [B, AB, A²B, …] tenga rango igual al orden del sistema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«Los bordes de la imagen no son necesariamente los bordes de los objetos» (Corke). Un ejemplo típico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objeto sin textura sobre fondo uniforme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ruido térmico del sensor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Una sombra proyectada que produce un gradiente fuerte sin frontera física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Una imagen sobreexpuesta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En ROS 2, un nodo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fichero de configuración del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punto del árbol de transformadas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 hilo del programa principal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 proceso independiente que hace una cosa y se comunica por mensajes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RRT domina la planificación en alta dimensión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necesita detectar colisiones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árbol crece hacia muestras aleatorias sin discretizar todo el 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Garantiza siempre el camino más corto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Funciona solo en dos dimensiones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En la actualización de Q-learning, el corchete r + γ·max Q(s',a') − Q(s,a)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gradiente de la política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varianza del retorno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error de diferencia temporal: la sorpresa entre lo esperado y lo observado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recompensa media del episodio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Seguridad y normativa (1,6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Célula de plegado: un robot de 6 ejes alimenta una plegadora; un operario retira las piezas plegadas de una mesa contigua varias veces por hora.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(0,6 pt). </w:t>
      </w:r>
      <w:r>
        <w:rPr>
          <w:rFonts w:ascii="Calibri" w:cs="Calibri" w:eastAsia="Calibri" w:hAnsi="Calibri"/>
          <w:sz w:val="22"/>
          <w:szCs w:val="22"/>
        </w:rPr>
        <w:t xml:space="preserve">¿Qué método (o combinación) de operación colaborativa de la ISO 10218:2025 propondrías para esta aplicación? Justifica la elección frente a las alternativas.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(0,6 pt). </w:t>
      </w:r>
      <w:r>
        <w:rPr>
          <w:rFonts w:ascii="Calibri" w:cs="Calibri" w:eastAsia="Calibri" w:hAnsi="Calibri"/>
          <w:sz w:val="22"/>
          <w:szCs w:val="22"/>
        </w:rPr>
        <w:t xml:space="preserve">Identifica tres peligros relevantes; al menos uno debe corresponder a un modo degradado (limpieza, mantenimiento, recuperación de fallos).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(0,4 pt). </w:t>
      </w:r>
      <w:r>
        <w:rPr>
          <w:rFonts w:ascii="Calibri" w:cs="Calibri" w:eastAsia="Calibri" w:hAnsi="Calibri"/>
          <w:sz w:val="22"/>
          <w:szCs w:val="22"/>
        </w:rPr>
        <w:t xml:space="preserve">Propón una medida de reducción del riesgo por cada nivel de la jerarquía (eliminar por diseño → proteger → informar), en ese orden.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Cinemática y control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manipulador plano 2R tiene a₁ = 0,4 m y a₂ = 0,25 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(1,0 pt). </w:t>
      </w:r>
      <w:r>
        <w:rPr>
          <w:rFonts w:ascii="Calibri" w:cs="Calibri" w:eastAsia="Calibri" w:hAnsi="Calibri"/>
          <w:sz w:val="22"/>
          <w:szCs w:val="22"/>
        </w:rPr>
        <w:t xml:space="preserve">Para q = (50°, 35°), calcula la posición (x, y) del efector y su orientación φ.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(1,0 pt). </w:t>
      </w:r>
      <w:r>
        <w:rPr>
          <w:rFonts w:ascii="Calibri" w:cs="Calibri" w:eastAsia="Calibri" w:hAnsi="Calibri"/>
          <w:sz w:val="22"/>
          <w:szCs w:val="22"/>
        </w:rPr>
        <w:t xml:space="preserve">Escribe el jacobiano J(q) en esa configuración, calcula su determinante e indica las configuraciones singulares del robot.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(1,0 pt). </w:t>
      </w:r>
      <w:r>
        <w:rPr>
          <w:rFonts w:ascii="Calibri" w:cs="Calibri" w:eastAsia="Calibri" w:hAnsi="Calibri"/>
          <w:sz w:val="22"/>
          <w:szCs w:val="22"/>
        </w:rPr>
        <w:t xml:space="preserve">Una articulación equivalente con la gravedad compensada responde a M·θ̈ + b·θ̇ = τ, con M = 0,4 kg·m² y b = 0,1 N·m·s/rad. Diseña un PD para ζ = 0,8 y ωₙ = 5 rad/s.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Estimación probabilística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robot debe estimar si una puerta está abierta o cerrada. Creencia inicial: p(abierta) = 0,5. El sensor devuelve «abierta» con probabilidad 0,7 si la puerta está realmente abierta, y con probabilidad 0,3 si está cerrada (falsa alarma).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(1,0 pt). </w:t>
      </w:r>
      <w:r>
        <w:rPr>
          <w:rFonts w:ascii="Calibri" w:cs="Calibri" w:eastAsia="Calibri" w:hAnsi="Calibri"/>
          <w:sz w:val="22"/>
          <w:szCs w:val="22"/>
        </w:rPr>
        <w:t xml:space="preserve">El sensor devuelve «abierta». Calcula la creencia posterior con la regla de Bayes. El sensor vuelve a devolver «abierta»: calcula la nueva creencia.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¿Qué hipótesis (de Markov) sobre las medidas estás usando al encadenar las dos actualizaciones?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E · Aprendizaje por refuerzo y planificación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 (1,0 pt). </w:t>
      </w:r>
      <w:r>
        <w:rPr>
          <w:rFonts w:ascii="Calibri" w:cs="Calibri" w:eastAsia="Calibri" w:hAnsi="Calibri"/>
          <w:sz w:val="22"/>
          <w:szCs w:val="22"/>
        </w:rPr>
        <w:t xml:space="preserve">Un agente de Q-learning tiene Q(s, a) = 2. Ejecuta a, recibe r = 1 y llega a s' donde max Q(s', a') = 3. Con γ = 0,9 y α = 0,5, calcula el error de diferencia temporal y el nuevo Q(s, 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 (0,5 pt). </w:t>
      </w:r>
      <w:r>
        <w:rPr>
          <w:rFonts w:ascii="Calibri" w:cs="Calibri" w:eastAsia="Calibri" w:hAnsi="Calibri"/>
          <w:sz w:val="22"/>
          <w:szCs w:val="22"/>
        </w:rPr>
        <w:t xml:space="preserve">Explica en dos frases por qué el behavior cloning (imitación pura) falla cuando el robot se aleja de los estados demostrados, y qué familia de métodos lo mitiga.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2026-08-11T09:53:42.999Z</dcterms:created>
  <dcterms:modified xsi:type="dcterms:W3CDTF">2026-08-11T09:53:42.999Z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