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905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B2A80"/>
          <w:sz w:val="52"/>
          <w:szCs w:val="52"/>
        </w:rPr>
        <w:t xml:space="preserve">82514, Mecatrónica y Robótica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2E3FA3"/>
          <w:sz w:val="30"/>
          <w:szCs w:val="30"/>
        </w:rPr>
        <w:t xml:space="preserve">Plan del curso 2026/27 · Calendario y programación de sesiones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IQS, Universitat Ramon Llull · 6 ECTS · Primer semestre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Horario: miércoles 1 h · jueves 1 h · viernes 2 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1. Estructura general del semestre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periodo lectivo va del lunes 7 de septiembre al martes 22 de diciembre de 2026. Con clases los miércoles (1 h), jueves (1 h) y viernes (2 h), el semestre ofrece 43 sesiones y 57 horas lectivas una vez descontados los festivos de Barcelona que caen en día de clase: el viernes 11 de septiembre (Diada Nacional de Catalunya) y el jueves 24 de septiembre (La Mercè). El lunes 12 de octubre y el martes 8 de diciembre también son festivos, pero no afectan al horario de la asignatura.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Criterio de diseño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sesiones de 1 h (miércoles y jueves) se reservan para teoría y resolución guiada de ejercicios; la sesión de 2 h del viernes concentra los talleres con ordenador, los casos integradores y las actividades de discusión, y aloja los dos exámenes parciales (S25 y S40), que necesitan las dos horas.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Distribución de horas por bloque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100"/>
        <w:gridCol w:w="2560"/>
      </w:tblGrid>
      <w:tr>
        <w:trPr>
          <w:tblHeader/>
        </w:trPr>
        <w:tc>
          <w:tcPr>
            <w:tcW w:type="dxa" w:w="57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1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56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 (aprox.)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B1. Introducción a la mecatrónica y panorama 2026 de la robótica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sep – 17 sep</w:t>
            </w:r>
          </w:p>
        </w:tc>
      </w:tr>
      <w:tr>
        <w:tc>
          <w:tcPr>
            <w:tcW w:type="dxa" w:w="5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B2. Tipología de robots, cobots y humanoides. Seguridad y normativa</w:t>
            </w:r>
          </w:p>
        </w:tc>
        <w:tc>
          <w:tcPr>
            <w:tcW w:type="dxa" w:w="11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h</w:t>
            </w:r>
          </w:p>
        </w:tc>
        <w:tc>
          <w:tcPr>
            <w:tcW w:type="dxa" w:w="25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 sep – 25 sep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B3. Sensores y actuadores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sep – 8 oct</w:t>
            </w:r>
          </w:p>
        </w:tc>
      </w:tr>
      <w:tr>
        <w:tc>
          <w:tcPr>
            <w:tcW w:type="dxa" w:w="5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B4. Cinemática y estática de robots</w:t>
            </w:r>
          </w:p>
        </w:tc>
        <w:tc>
          <w:tcPr>
            <w:tcW w:type="dxa" w:w="11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h</w:t>
            </w:r>
          </w:p>
        </w:tc>
        <w:tc>
          <w:tcPr>
            <w:tcW w:type="dxa" w:w="25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oct – 23 oct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B5. Modelado y control de sistemas mecatrónicos en Python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oct – 5 nov</w:t>
            </w:r>
          </w:p>
        </w:tc>
      </w:tr>
      <w:tr>
        <w:tc>
          <w:tcPr>
            <w:tcW w:type="dxa" w:w="5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B6. Percepción robótica: visión, estimación de estado y SLAM</w:t>
            </w:r>
          </w:p>
        </w:tc>
        <w:tc>
          <w:tcPr>
            <w:tcW w:type="dxa" w:w="11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25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 nov – 20 nov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B7. Software robótico: ROS 2, simulación y planificación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 nov – 4 dic</w:t>
            </w:r>
          </w:p>
        </w:tc>
      </w:tr>
      <w:tr>
        <w:tc>
          <w:tcPr>
            <w:tcW w:type="dxa" w:w="5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B8. Robótica basada en aprendizaje (docencia)</w:t>
            </w:r>
          </w:p>
        </w:tc>
        <w:tc>
          <w:tcPr>
            <w:tcW w:type="dxa" w:w="11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25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dic – 10 dic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EXÁMENES PARCIALES: P1 (B1–B4) y P2 (B5–B7)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nov · 11 dic</w:t>
            </w:r>
          </w:p>
        </w:tc>
      </w:tr>
      <w:tr>
        <w:tc>
          <w:tcPr>
            <w:tcW w:type="dxa" w:w="5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Seminario de artículos científicos</w:t>
            </w:r>
          </w:p>
        </w:tc>
        <w:tc>
          <w:tcPr>
            <w:tcW w:type="dxa" w:w="11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25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 – 17 dic</w:t>
            </w:r>
          </w:p>
        </w:tc>
      </w:tr>
      <w:tr>
        <w:tc>
          <w:tcPr>
            <w:tcW w:type="dxa" w:w="5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Cierre: defensas del proyecto y repaso del examen final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 dic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2. Calendario sesión a sesión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numeración de sesiones (S1–S43) se usa también en los documentos de apuntes de cada bloque, donde encontrarás la estructura interna de cada clase minuto a minuto y la teoría correspondiente.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50"/>
        <w:gridCol w:w="700"/>
        <w:gridCol w:w="900"/>
        <w:gridCol w:w="571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12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7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Dur.</w:t>
            </w:r>
          </w:p>
        </w:tc>
        <w:tc>
          <w:tcPr>
            <w:tcW w:type="dxa" w:w="9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571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9 sep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Presentación de la asignatura. Qué es la mecatrónica: definición, dominios y componentes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10 sep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proceso de diseño mecatrónico: diseño acoplado, MDQ, evolución de diseño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11 sep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FESTIVO, Diada Nacional de Catalunya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16 sep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 de la robótica y definición de robot: sentir, planificar, actuar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17 sep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Panorama 2026: Physical AI, humanoides, mercado. Lanzamiento del seminario de artículos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18 sep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Taxonomía de robots. Configuraciones de manipuladores y espacios de trabajo. Grados de autonomía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23 sep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Robots móviles: locomoción con ruedas y patas, AGV frente a AMR, drones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24 sep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FESTIVO, La Mercè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25 sep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Robots colaborativos y seguridad: ISO 10218:2025, métodos colaborativos, análisis de riesgos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30 sep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Arquitectura de instrumentación. Características estáticas y dinámicas de los sensores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S9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Sensores de posición, velocidad e inercia: encoders, resolvers, IMU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2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Sensores de fuerza y táctiles. Sensores de rango: LiDAR y cámaras de profundidad. Ejercicios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7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Actuadores eléctricos: DC, BLDC, paso a paso, servoaccionamientos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8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Actuadores hidráulicos y neumáticos. Transmisiones y selección motor-reductora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9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Posición y orientación: rotaciones, transformaciones homogéneas. Taller con spatialmath (Python)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S14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14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Cinemática directa: convención de Denavit-Hartenberg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15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Taller: cinemática directa con la Robotics Toolbox for Python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S16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16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Cinemática inversa: soluciones analíticas y numéricas. Taller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S17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21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Jacobiano y cinemática diferencial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S18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22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Singularidades y manipulabilidad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S19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23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Estática y fuerzas. Generación de trayectorias articulares y cartesianas. Repaso del bloque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S20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28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Modelado de sistemas electromecánicos: EDO y función de transferencia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29 oct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Respuesta temporal y frecuencial con python-control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S22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30 oct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Taller: control PID de una articulación; sintonía y simulación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S23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4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Representación en espacio de estados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S24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5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Dinámica de manipuladores: Euler-Lagrange y control por par calculado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6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EXAMEN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PARCIAL 1 (bloques 1–4): test de 10 preguntas + tres problemas. 6 versiones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S26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11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Formación de imagen y modelo de cámara; calibración como cuaderno guiado en casa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S27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12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Procesado clásico y aprendido: convolución, bordes, blobs, YOLO, SAM y el criterio del ingeniero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S28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13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Probabilidad para robótica: filtro de Bayes y filtro de Kalman. Taller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S29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18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Localización con EKF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S30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19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 de partículas y localización de Montecarlo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20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SLAM: EKF-SLAM, grafos de factores, SLAM visual y panorama actual (NeRF, 3DGS)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S32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25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Arquitectura de ROS 2: nodos, topics, DDS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S33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26 nov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Servicios, acciones, parámetros y launch files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S34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27 nov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Taller ROS 2: paquete en Python, simulación con Gazebo, TF2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2 dic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Planificación de trayectorias: mapas de coste, A*, RRT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S36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3 dic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Navegación autónoma con Nav2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S37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4 dic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Manipulación con MoveIt 2. Integración del stack completo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S38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9 dic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Aprendizaje por refuerzo: MDP, recompensas, Q-learning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S39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10 dic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RL profundo, imitación y modelos VLA (π0, GR00T); sim-to-real. Gemelos digitales como lectura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S40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11 dic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EXAMEN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PARCIAL 2 (bloques 5–7): test de 10 preguntas + tres problemas. 6 versiones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mié 16 dic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Seminario de artículos científicos I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S42</w:t>
            </w:r>
          </w:p>
        </w:tc>
        <w:tc>
          <w:tcPr>
            <w:tcW w:type="dxa" w:w="12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jue 17 dic</w:t>
            </w:r>
          </w:p>
        </w:tc>
        <w:tc>
          <w:tcPr>
            <w:tcW w:type="dxa" w:w="7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h</w:t>
            </w:r>
          </w:p>
        </w:tc>
        <w:tc>
          <w:tcPr>
            <w:tcW w:type="dxa" w:w="9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571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Seminario de artículos científicos II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S43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 18 dic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5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Presentaciones finales del proyecto integrador. Repaso orientado al examen de enero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3. Evaluación: pesos, exámenes e hitos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nota final respeta las cuatro partidas de la guía docente oficial y queda así repartida: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rPr>
          <w:tblHeader/>
        </w:trPr>
        <w:tc>
          <w:tcPr>
            <w:tcW w:type="dxa" w:w="26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Partida (guía docente)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96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Desglose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Exámenes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40 %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Parcial 1 (B1–B4, S25 · 6 nov): 15 % · Parcial 2 (B5–B7, S40 · 11 dic): 15 % · Examen final (enero, B1–B8 con énfasis en B8 e integración): 10 %. El final incluye recuperación por bloques para quien tenga un parcial por debajo de 4</w:t>
            </w:r>
          </w:p>
        </w:tc>
      </w:tr>
      <w:tr>
        <w:tc>
          <w:tcPr>
            <w:tcW w:type="dxa" w:w="2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Actividades de seguimiento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30 %</w:t>
            </w:r>
          </w:p>
        </w:tc>
        <w:tc>
          <w:tcPr>
            <w:tcW w:type="dxa" w:w="59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Cuestionarios Moodle de bloque (8 × 15 min, 10 preguntas ABCD): 12 % · Entregables de clase (riesgos S7, sensores S10, PID S22, cuaderno de calibración S26→S28, ROS 2 S34): 8 % · Seminario de artículos: 10 %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Trabajos y presentaciones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10 %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 integrador: entregas parciales y defensa en S43 con su rúbrica</w:t>
            </w:r>
          </w:p>
        </w:tc>
      </w:tr>
      <w:tr>
        <w:tc>
          <w:tcPr>
            <w:tcW w:type="dxa" w:w="26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Trabajo experimental (laboratorio)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20 %</w:t>
            </w:r>
          </w:p>
        </w:tc>
        <w:tc>
          <w:tcPr>
            <w:tcW w:type="dxa" w:w="596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Prácticas con los robots Mitsubishi y ABB según su calendario propio (diseño intocado)</w:t>
            </w:r>
          </w:p>
        </w:tc>
      </w:tr>
    </w:tbl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Decisión que cierra la incoherencia pendiente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seminario de artículos queda dentro de actividades de seguimiento (10 %), y el proyecto integrador ocupa la partida de trabajos y presentaciones (10 %). Así las cuatro partidas oficiales de la guía docente se mantienen intactas (40/30/10/20) y cada actividad tiene casilla propia.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examen existe en seis versiones (A–F) con la misma estructura y dificultad y distinto juego de números y subconjunto de test; los enunciados, la rúbrica de corrección por apartados y las soluciones completas de cada versión están en la carpeta de exámenes (Examen_82514_… y Correccion_82514_…). Los cuestionarios Moodle se montan importando los ficheros GIFT del banco (12 preguntas por bloque; el cuestionario extrae 10 al azar).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Hitos de evaluación continua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Seminario de artículos: </w:t>
      </w:r>
      <w:r>
        <w:rPr>
          <w:rFonts w:ascii="Calibri" w:cs="Calibri" w:eastAsia="Calibri" w:hAnsi="Calibri"/>
          <w:sz w:val="22"/>
          <w:szCs w:val="22"/>
        </w:rPr>
        <w:t xml:space="preserve">asignación de artículos en S4 (17 sep); presentaciones en S41–S42 (16–17 dic).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 integrador: </w:t>
      </w:r>
      <w:r>
        <w:rPr>
          <w:rFonts w:ascii="Calibri" w:cs="Calibri" w:eastAsia="Calibri" w:hAnsi="Calibri"/>
          <w:sz w:val="22"/>
          <w:szCs w:val="22"/>
        </w:rPr>
        <w:t xml:space="preserve">formación de equipos en S5; entrega 1 (modelo cinemático) tras B4; entrega 2 (control) el miércoles 11 de noviembre (S26, movida para no chocar con el parcial 1); entrega 3 (percepción o navegación en simulación) tras B7; defensa final en S43.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Cuestionarios: </w:t>
      </w:r>
      <w:r>
        <w:rPr>
          <w:rFonts w:ascii="Calibri" w:cs="Calibri" w:eastAsia="Calibri" w:hAnsi="Calibri"/>
          <w:sz w:val="22"/>
          <w:szCs w:val="22"/>
        </w:rPr>
        <w:t xml:space="preserve">cuestionarios Moodle de 15 minutos (10 preguntas ABCD) al cierre de cada bloque: S4, S7, S12, S19, S24, S31 y S37; el de B8 se hace en casa, en la ventana del 11 al 15 de diciembre.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Exámenes: </w:t>
      </w:r>
      <w:r>
        <w:rPr>
          <w:rFonts w:ascii="Calibri" w:cs="Calibri" w:eastAsia="Calibri" w:hAnsi="Calibri"/>
          <w:sz w:val="22"/>
          <w:szCs w:val="22"/>
        </w:rPr>
        <w:t xml:space="preserve">Parcial 1 (B1–B4) el viernes 6 de noviembre (S25) y Parcial 2 (B5–B7) el viernes 11 de diciembre (S40), ambos de 2 horas y en 6 versiones; examen final en la convocatoria de enero.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Examen final (enero): </w:t>
      </w:r>
      <w:r>
        <w:rPr>
          <w:rFonts w:ascii="Calibri" w:cs="Calibri" w:eastAsia="Calibri" w:hAnsi="Calibri"/>
          <w:sz w:val="22"/>
          <w:szCs w:val="22"/>
        </w:rPr>
        <w:t xml:space="preserve">3 horas, bloques 1–8 con énfasis en B8 e integración; incluye la recuperación por bloques de los parciales. El repaso de S43 fija qué entra de forma literal.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4. Materiales del curso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bloque tiene dos ficheros: un documento de apuntes del profesor, con el guion de cada sesión segmento a segmento y la teoría extensa, donde cada afirmación relevante lleva su cita con página verificada sobre las ediciones de la carpeta de bibliografía, y una presentación de aula en estilo IQS con notas del orador en cada diapositiva.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80"/>
        <w:gridCol w:w="3400"/>
        <w:gridCol w:w="2730"/>
      </w:tblGrid>
      <w:tr>
        <w:trPr>
          <w:tblHeader/>
        </w:trPr>
        <w:tc>
          <w:tcPr>
            <w:tcW w:type="dxa" w:w="215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08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34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Apuntes del profesor</w:t>
            </w:r>
          </w:p>
        </w:tc>
        <w:tc>
          <w:tcPr>
            <w:tcW w:type="dxa" w:w="273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Presentación</w:t>
            </w:r>
          </w:p>
        </w:tc>
      </w:tr>
      <w:tr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B1. Introducción a la mecatrónica</w:t>
            </w:r>
          </w:p>
        </w:tc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S1–S4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Apuntes_B1_Introduccion_Mecatronica.docx</w:t>
            </w:r>
          </w:p>
        </w:tc>
        <w:tc>
          <w:tcPr>
            <w:tcW w:type="dxa" w:w="2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IQS_B1_Introduccion.pptx</w:t>
            </w:r>
          </w:p>
        </w:tc>
      </w:tr>
      <w:tr>
        <w:tc>
          <w:tcPr>
            <w:tcW w:type="dxa" w:w="21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B2. Tipología, cobots y seguridad</w:t>
            </w:r>
          </w:p>
        </w:tc>
        <w:tc>
          <w:tcPr>
            <w:tcW w:type="dxa" w:w="108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S5–S7</w:t>
            </w:r>
          </w:p>
        </w:tc>
        <w:tc>
          <w:tcPr>
            <w:tcW w:type="dxa" w:w="34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Apuntes_B2_Tipologia_Seguridad.docx</w:t>
            </w:r>
          </w:p>
        </w:tc>
        <w:tc>
          <w:tcPr>
            <w:tcW w:type="dxa" w:w="273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IQS_B2_Tipologia_Seguridad.pptx</w:t>
            </w:r>
          </w:p>
        </w:tc>
      </w:tr>
      <w:tr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B3. Sensores y actuadores</w:t>
            </w:r>
          </w:p>
        </w:tc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S8–S12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Apuntes_B3_Sensores_Actuadores.docx</w:t>
            </w:r>
          </w:p>
        </w:tc>
        <w:tc>
          <w:tcPr>
            <w:tcW w:type="dxa" w:w="2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IQS_B3_Sensores_Actuadores.pptx</w:t>
            </w:r>
          </w:p>
        </w:tc>
      </w:tr>
      <w:tr>
        <w:tc>
          <w:tcPr>
            <w:tcW w:type="dxa" w:w="21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B4. Cinemática y estática</w:t>
            </w:r>
          </w:p>
        </w:tc>
        <w:tc>
          <w:tcPr>
            <w:tcW w:type="dxa" w:w="108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S13–S19</w:t>
            </w:r>
          </w:p>
        </w:tc>
        <w:tc>
          <w:tcPr>
            <w:tcW w:type="dxa" w:w="34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Apuntes_B4_Cinematica_Estatica.docx</w:t>
            </w:r>
          </w:p>
        </w:tc>
        <w:tc>
          <w:tcPr>
            <w:tcW w:type="dxa" w:w="273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IQS_B4_Cinematica_Estatica.pptx</w:t>
            </w:r>
          </w:p>
        </w:tc>
      </w:tr>
      <w:tr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B5. Modelado y control en Python</w:t>
            </w:r>
          </w:p>
        </w:tc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S20–S24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Apuntes_B5_Modelado_Control.docx</w:t>
            </w:r>
          </w:p>
        </w:tc>
        <w:tc>
          <w:tcPr>
            <w:tcW w:type="dxa" w:w="2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IQS_B5_Modelado_Control.pptx</w:t>
            </w:r>
          </w:p>
        </w:tc>
      </w:tr>
      <w:tr>
        <w:tc>
          <w:tcPr>
            <w:tcW w:type="dxa" w:w="21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B6. Percepción, estimación y SLAM</w:t>
            </w:r>
          </w:p>
        </w:tc>
        <w:tc>
          <w:tcPr>
            <w:tcW w:type="dxa" w:w="108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S26–S31 (parcial 1 en S25)</w:t>
            </w:r>
          </w:p>
        </w:tc>
        <w:tc>
          <w:tcPr>
            <w:tcW w:type="dxa" w:w="34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Apuntes_B6_Percepcion_SLAM.docx</w:t>
            </w:r>
          </w:p>
        </w:tc>
        <w:tc>
          <w:tcPr>
            <w:tcW w:type="dxa" w:w="273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IQS_B6_Percepcion_SLAM.pptx</w:t>
            </w:r>
          </w:p>
        </w:tc>
      </w:tr>
      <w:tr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B7. ROS 2, simulación y planificación</w:t>
            </w:r>
          </w:p>
        </w:tc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S32–S37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Apuntes_B7_ROS2_Planificacion.docx</w:t>
            </w:r>
          </w:p>
        </w:tc>
        <w:tc>
          <w:tcPr>
            <w:tcW w:type="dxa" w:w="2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IQS_B7_ROS2_Planificacion.pptx</w:t>
            </w:r>
          </w:p>
        </w:tc>
      </w:tr>
      <w:tr>
        <w:tc>
          <w:tcPr>
            <w:tcW w:type="dxa" w:w="215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B8. Robot learning, seminario y cierre</w:t>
            </w:r>
          </w:p>
        </w:tc>
        <w:tc>
          <w:tcPr>
            <w:tcW w:type="dxa" w:w="108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S38–S43 (parcial 2 en S40)</w:t>
            </w:r>
          </w:p>
        </w:tc>
        <w:tc>
          <w:tcPr>
            <w:tcW w:type="dxa" w:w="34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Apuntes_B8_Robot_Learning.docx</w:t>
            </w:r>
          </w:p>
        </w:tc>
        <w:tc>
          <w:tcPr>
            <w:tcW w:type="dxa" w:w="273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IQS_B8_Robot_Learning.pptx</w:t>
            </w:r>
          </w:p>
        </w:tc>
      </w:tr>
    </w:tbl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Ediciones de referencia para las citas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 Silva, C. W. et al. (2016), Mechatronics: Fundamentals and Applications, CRC Press · Corke, P. (2023), Robotics, Vision and Control: Fundamental Algorithms in Python, 3.ª ed., Springer · Lynch, K. M. y Park, F. C. (2017), Modern Robotics, Cambridge University Press · Thrun, S., Burgard, W. y Fox, D. (2005), Probabilistic Robotics, MIT Press · Fraden, J. (2016), Handbook of Modern Sensors, 5.ª ed., Springer. Las normas (ISO 10218:2025, ISO/TS 15066:2016, ISO 12100:2010), la documentación de ROS 2, Nav2 y MoveIt 2, y los artículos de arXiv se citan por designación o identificador, sin página.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2026-08-11T07:26:41.498Z</dcterms:created>
  <dcterms:modified xsi:type="dcterms:W3CDTF">2026-08-11T07:26:41.499Z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