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C3E50"/>
          <w:sz w:val="52"/>
        </w:rPr>
        <w:t>TSAR 服务器监控数据分析报告</w:t>
      </w:r>
    </w:p>
    <w:p>
      <w:pPr>
        <w:jc w:val="center"/>
      </w:pPr>
      <w:r>
        <w:rPr>
          <w:color w:val="7F8C8D"/>
          <w:sz w:val="28"/>
        </w:rPr>
        <w:t>数据库设计 · 时间戳解析 · 小时聚合分析</w:t>
      </w:r>
    </w:p>
    <w:p/>
    <w:p>
      <w:pPr>
        <w:jc w:val="center"/>
      </w:pPr>
      <w:r>
        <w:rPr>
          <w:sz w:val="22"/>
        </w:rPr>
        <w:t>数据范围: 20台服务器, 2026-07-01 ~ 2026-07-07 (7天)</w:t>
        <w:br/>
      </w:r>
      <w:r>
        <w:rPr>
          <w:sz w:val="22"/>
        </w:rPr>
        <w:t>数据量: disk_tsar 12,000条 + pref_tsar 67,200条 = 79,200条</w:t>
        <w:br/>
      </w:r>
      <w:r>
        <w:rPr>
          <w:sz w:val="22"/>
        </w:rPr>
        <w:t>工具: Python 3 + SQLite + matplotlib</w:t>
        <w:br/>
      </w:r>
    </w:p>
    <w:p>
      <w:r>
        <w:br w:type="page"/>
      </w:r>
    </w:p>
    <w:p>
      <w:pPr>
        <w:pStyle w:val="Heading1"/>
      </w:pPr>
      <w:r>
        <w:t>一、ER 实体关系图</w:t>
      </w:r>
    </w:p>
    <w:p>
      <w:r>
        <w:t>下图展示了 4 张原始数据表的 ER 关系——采用左右分栏结构：左侧为维度表（主机信息 + 指标字典），右侧为事实表（磁盘采集 + 性能采集），连线标注了关联字段和基数关系。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3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1.1 表间关联说明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关联方向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基数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关联字段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HOST_DETAIL -&gt; DISK_TSAR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 : 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hostid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一台主机产生多条磁盘采集记录 (每5分钟)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HOST_DETAIL -&gt; PREF_TSAR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 : 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hostid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一台主机产生多条性能采集记录 (每小时)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MOD_DETAIL -&gt; DISK_TSAR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 : 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一个指标出现在多条磁盘记录中 (35个磁盘指标)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MOD_DETAIL -&gt; PREF_TSAR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 : 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一个指标出现在多条性能记录中 (20个性能指标)</w:t>
            </w:r>
          </w:p>
        </w:tc>
      </w:tr>
    </w:tbl>
    <w:p/>
    <w:p>
      <w:pPr>
        <w:pStyle w:val="Heading2"/>
      </w:pPr>
      <w:r>
        <w:t>1.2 各表主外键设计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主键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外键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记录数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HOST_DETAIL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hostid (PK)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MOD_DETAIL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 (PK)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55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DISK_TSAR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ts + hostid + mod (联合唯一)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hostid -&gt; HOST_DETAIL, mod -&gt; MOD_DETAIL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12,000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PREF_TSAR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ts + hostid + mod (联合唯一)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hostid -&gt; HOST_DETAIL, mod -&gt; MOD_DETAIL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67,200</w:t>
            </w:r>
          </w:p>
        </w:tc>
      </w:tr>
    </w:tbl>
    <w:p/>
    <w:p>
      <w:r>
        <w:rPr>
          <w:b/>
        </w:rPr>
        <w:t>数据库设计说明：</w:t>
      </w:r>
      <w:r>
        <w:t>实际建库时将 DISK_TSAR 和 PREF_TSAR 合并为 tsar_detail 统一表，通过 type 字段 ('disk'/'pref') 区分类型；并另建 tsar_hourly 物化表存储小时汇总结果，查询更加方便。</w:t>
      </w:r>
    </w:p>
    <w:p>
      <w:r>
        <w:br w:type="page"/>
      </w:r>
    </w:p>
    <w:p>
      <w:pPr>
        <w:pStyle w:val="Heading1"/>
      </w:pPr>
      <w:r>
        <w:t>二、时间戳解析</w:t>
      </w:r>
    </w:p>
    <w:p>
      <w:r>
        <w:t>原始数据中 ts 字段是 13 位毫秒级 Unix 时间戳，表示从 1970-01-01 00:00:00 UTC 起经过的毫秒数。需要将其转换为北京时间 (UTC+8) 下的可读日期时间。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42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imestamp_dem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转换步骤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原始毫秒数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1782835200000 (13位整数)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 1000 (毫秒 -&gt; 秒)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1782835200 (Unix timestamp)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fromtimestamp() -&gt; UTC时间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2026-06-30 16:00:00 UTC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+8小时 -&gt; 北京时间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2026-07-01 00:00:00 CST</w:t>
            </w:r>
          </w:p>
        </w:tc>
      </w:tr>
    </w:tbl>
    <w:p/>
    <w:p>
      <w:pPr>
        <w:pStyle w:val="Heading2"/>
      </w:pPr>
      <w:r>
        <w:t>2.2 Python 实现代码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from datetime import datetime, timezone, timedelta</w:t>
        <w:br/>
        <w:br/>
        <w:t>BEIJING_TZ = timezone(timedelta(hours=8))</w:t>
        <w:br/>
        <w:br/>
        <w:t>def ms_to_datetime(ts_ms: int) -&gt; str:</w:t>
        <w:br/>
        <w:t xml:space="preserve">    ts_sec = ts_ms / 1000.0        # step 1: ms -&gt; seconds</w:t>
        <w:br/>
        <w:t xml:space="preserve">    dt_utc = datetime.fromtimestamp(ts_sec, tz=timezone.utc)</w:t>
        <w:br/>
        <w:t xml:space="preserve">    dt_beijing = dt_utc.astimezone(BEIJING_TZ)</w:t>
        <w:br/>
        <w:t xml:space="preserve">    return dt_beijing.strftime("%Y-%m-%d %H:%M:%S")</w:t>
      </w:r>
    </w:p>
    <w:p>
      <w:pPr>
        <w:pStyle w:val="Heading2"/>
      </w:pPr>
      <w:r>
        <w:t>2.3 转换验证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原始毫秒数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转换结果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1782835200000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2026-07-01 00:00:00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数据起点 (匹配文档)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1782838800000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2026-07-01 01:00:00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1小时后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1782921600000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2026-07-02 00:00:00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1天后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1783436400000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2026-07-07 23:00:00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7天后 (pref终点)</w:t>
            </w:r>
          </w:p>
        </w:tc>
      </w:tr>
    </w:tbl>
    <w:p/>
    <w:p>
      <w:r>
        <w:rPr>
          <w:b/>
        </w:rPr>
        <w:t>注意：</w:t>
      </w:r>
      <w:r>
        <w:t>数据库里同时保留了 ts_ms（原始毫秒值）和 dt（可读字符串）两列——原始值方便程序计算时间差，可读字符串方便人工查看和 SQL 分组。</w:t>
      </w:r>
    </w:p>
    <w:p>
      <w:r>
        <w:br w:type="page"/>
      </w:r>
    </w:p>
    <w:p>
      <w:pPr>
        <w:pStyle w:val="Heading1"/>
      </w:pPr>
      <w:r>
        <w:t>三、按小时汇总指标</w:t>
      </w:r>
    </w:p>
    <w:p>
      <w:r>
        <w:t>磁盘数据每 5 分钟采样一次，性能数据每小时采样一次。通过小时汇总，将同一小时内的多条记录聚合成一行，计算平均值 (AVG)、最大值 (MAX)、最小值 (MIN) 和采样数 (COUNT)。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65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ourly_aggregation_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汇总 SQL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CREATE VIEW v_tsar_hourly AS</w:t>
        <w:br/>
        <w:t>SELECT</w:t>
        <w:br/>
        <w:t xml:space="preserve">    strftime('%Y-%m-%d %H:00:00', dt) AS hour_bucket,</w:t>
        <w:br/>
        <w:t xml:space="preserve">    hostid, type, mod, tag,</w:t>
        <w:br/>
        <w:t xml:space="preserve">    ROUND(AVG(value), 4)  AS avg_value,     -- 小时均值</w:t>
        <w:br/>
        <w:t xml:space="preserve">    ROUND(MAX(value), 4)  AS max_value,     -- 小时最大值</w:t>
        <w:br/>
        <w:t xml:space="preserve">    ROUND(MIN(value), 4)  AS min_value,     -- 小时最小值</w:t>
        <w:br/>
        <w:t xml:space="preserve">    COUNT(*)              AS sample_count   -- 采样数</w:t>
        <w:br/>
        <w:t>FROM tsar_detail</w:t>
        <w:br/>
        <w:t>GROUP BY hour_bucket, hostid, type, mod;</w:t>
      </w:r>
    </w:p>
    <w:p>
      <w:pPr>
        <w:pStyle w:val="Heading2"/>
      </w:pPr>
      <w:r>
        <w:t>3.2 汇总统计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汇总总行数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79,096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小时时段数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覆盖主机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 / 20 (100%)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覆盖指标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55 / 55 (100%)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磁盘类每小时采样数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平均 ~12 条 (5分钟间隔)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性能类每小时采样数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 条 (整点采样)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四、数据分析与可视化</w:t>
      </w:r>
    </w:p>
    <w:p>
      <w:pPr>
        <w:pStyle w:val="Heading2"/>
      </w:pPr>
      <w:r>
        <w:t>4.1 CPU 使用率分析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69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pu_hourly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9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24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pu_host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分析发现：</w:t>
      </w:r>
    </w:p>
    <w:p>
      <w:pPr>
        <w:pStyle w:val="ListBullet"/>
      </w:pPr>
      <w:r>
        <w:rPr>
          <w:b/>
        </w:rPr>
        <w:t>全局平均 CPU：</w:t>
      </w:r>
      <w:r>
        <w:t>43.2%，各主机平均分布在 39%~48% 之间，差异不大。</w:t>
      </w:r>
    </w:p>
    <w:p>
      <w:pPr>
        <w:pStyle w:val="ListBullet"/>
      </w:pPr>
      <w:r>
        <w:rPr>
          <w:b/>
        </w:rPr>
        <w:t>峰值 CPU：</w:t>
      </w:r>
      <w:r>
        <w:t>普遍在 90% 以上，部分主机达到 99%，说明存在周期性负载高峰。</w:t>
      </w:r>
    </w:p>
    <w:p>
      <w:pPr>
        <w:pStyle w:val="ListBullet"/>
      </w:pPr>
      <w:r>
        <w:rPr>
          <w:b/>
        </w:rPr>
        <w:t>趋势判断：</w:t>
      </w:r>
      <w:r>
        <w:t>CPU 呈现规律波动，无异常突增或持续满载，整体负载健康。</w:t>
      </w:r>
    </w:p>
    <w:p>
      <w:pPr>
        <w:pStyle w:val="Heading2"/>
      </w:pPr>
      <w:r>
        <w:t>4.2 磁盘使用率分析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077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sk_util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分析发现：</w:t>
      </w:r>
    </w:p>
    <w:p>
      <w:pPr>
        <w:pStyle w:val="ListBullet"/>
      </w:pPr>
      <w:r>
        <w:rPr>
          <w:b/>
        </w:rPr>
        <w:t>Top 5 峰值磁盘主机：</w:t>
      </w:r>
      <w:r>
        <w:t>host010 (99.5%), host020 (99.0%), host003 (99.0%), host017 (98.9%), host014 (97.0%)。</w:t>
      </w:r>
    </w:p>
    <w:p>
      <w:pPr>
        <w:pStyle w:val="ListBullet"/>
      </w:pPr>
      <w:r>
        <w:t>磁盘 sda 使用率峰值接近 100%，建议关注这些主机是否需要扩容或优化 I/O。</w:t>
      </w:r>
    </w:p>
    <w:p>
      <w:pPr>
        <w:pStyle w:val="ListBullet"/>
      </w:pPr>
      <w:r>
        <w:t>监控覆盖 5 块磁盘 (sda~sde)，每块盘 7 种指标：rqm、read、write、avgrq、await、util、svctm。</w:t>
      </w:r>
    </w:p>
    <w:p>
      <w:pPr>
        <w:pStyle w:val="Heading2"/>
      </w:pPr>
      <w:r>
        <w:t>4.3 内存使用分析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7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mory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分析发现：</w:t>
      </w:r>
    </w:p>
    <w:p>
      <w:pPr>
        <w:pStyle w:val="ListBullet"/>
      </w:pPr>
      <w:r>
        <w:t>mem_used 稳定在较高水平（host001 约 80~90 GB），内存占用较大。</w:t>
      </w:r>
    </w:p>
    <w:p>
      <w:pPr>
        <w:pStyle w:val="ListBullet"/>
      </w:pPr>
      <w:r>
        <w:t>mem_free + mem_buff + mem_cache 构成可用内存缓冲。</w:t>
      </w:r>
    </w:p>
    <w:p>
      <w:pPr>
        <w:pStyle w:val="ListBullet"/>
      </w:pPr>
      <w:r>
        <w:t>mem_swap 使用量很低，说明物理内存充足，未出现严重的内存压力。</w:t>
      </w:r>
    </w:p>
    <w:p>
      <w:pPr>
        <w:pStyle w:val="Heading2"/>
      </w:pPr>
      <w:r>
        <w:t>4.4 网络流量分析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65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etwork_traffi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分析发现：</w:t>
      </w:r>
    </w:p>
    <w:p>
      <w:pPr>
        <w:pStyle w:val="ListBullet"/>
      </w:pPr>
      <w:r>
        <w:t>入站 (net_in) 和出站 (net_out) 带宽呈现互补波动，符合请求-响应通信模式。</w:t>
      </w:r>
    </w:p>
    <w:p>
      <w:pPr>
        <w:pStyle w:val="ListBullet"/>
      </w:pPr>
      <w:r>
        <w:t>数据包速率 (net_pktin / net_pktout) 波动较大，存在明显的高峰和低谷时段。</w:t>
      </w:r>
    </w:p>
    <w:p>
      <w:pPr>
        <w:pStyle w:val="Heading2"/>
      </w:pPr>
      <w:r>
        <w:t>4.5 系统负载分析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542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ad_aver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4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分析发现：</w:t>
      </w:r>
    </w:p>
    <w:p>
      <w:pPr>
        <w:pStyle w:val="ListBullet"/>
      </w:pPr>
      <w:r>
        <w:t>load1 &lt; load5 &lt; load15 关系偶尔打破，短期负载有尖峰。</w:t>
      </w:r>
    </w:p>
    <w:p>
      <w:pPr>
        <w:pStyle w:val="ListBullet"/>
      </w:pPr>
      <w:r>
        <w:t>load1 波动剧烈、load15 相对平滑，符合负载平均的数学特性。</w:t>
      </w:r>
    </w:p>
    <w:p>
      <w:pPr>
        <w:pStyle w:val="ListBullet"/>
      </w:pPr>
      <w:r>
        <w:t>整体负载在合理范围，未发现持续高负载。</w:t>
      </w:r>
    </w:p>
    <w:p>
      <w:pPr>
        <w:pStyle w:val="Heading2"/>
      </w:pPr>
      <w:r>
        <w:t>4.6 综合仪表盘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094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9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五、总结</w:t>
      </w:r>
    </w:p>
    <w:p>
      <w:pPr>
        <w:pStyle w:val="Heading2"/>
      </w:pPr>
      <w:r>
        <w:t>5.1 数据库设计</w:t>
      </w:r>
    </w:p>
    <w:p>
      <w:r>
        <w:t>采用星型模型：tsar_detail 作为事实表，host_detail 和 mod_detail 作为维度表，tsar_hourly 作为预聚合表。</w:t>
      </w:r>
    </w:p>
    <w:p>
      <w:pPr>
        <w:pStyle w:val="ListBullet"/>
      </w:pPr>
      <w:r>
        <w:rPr>
          <w:b/>
        </w:rPr>
        <w:t>查询高效：</w:t>
      </w:r>
      <w:r>
        <w:t>维度表小，事实表有针对性的索引。</w:t>
      </w:r>
    </w:p>
    <w:p>
      <w:pPr>
        <w:pStyle w:val="ListBullet"/>
      </w:pPr>
      <w:r>
        <w:rPr>
          <w:b/>
        </w:rPr>
        <w:t>存储合理：</w:t>
      </w:r>
      <w:r>
        <w:t>同时保留原始毫秒时间戳和可读日期时间，兼顾精度和易用性。</w:t>
      </w:r>
    </w:p>
    <w:p>
      <w:pPr>
        <w:pStyle w:val="ListBullet"/>
      </w:pPr>
      <w:r>
        <w:rPr>
          <w:b/>
        </w:rPr>
        <w:t>扩展方便：</w:t>
      </w:r>
      <w:r>
        <w:t>新增主机或指标只需插入维度表，不影响现有结构。</w:t>
      </w:r>
    </w:p>
    <w:p>
      <w:pPr>
        <w:pStyle w:val="Heading2"/>
      </w:pPr>
      <w:r>
        <w:t>5.2 核心分析结论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结论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详情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整体健康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平均 43.2%，峰值偶达 99%，属正常波动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磁盘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需关注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5台主机 sda 峰值超过 97%，建议扩容或优化 I/O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内存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充足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swap 使用极低，物理内存配置合理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网络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正常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流量波动符合业务规律，无异常流量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负载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可控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整体负载在合理范围，未发现持续高负载</w:t>
            </w:r>
          </w:p>
        </w:tc>
      </w:tr>
    </w:tbl>
    <w:p/>
    <w:p>
      <w:pPr>
        <w:pStyle w:val="Heading2"/>
      </w:pPr>
      <w:r>
        <w:t>5.3 提交文件清单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分类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ER图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01_er_diagram.png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ER 实体关系图 (左右分栏, 1:N箭头)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时间戳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02_timestamp_demo.png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时间戳转换演示 (5个示例)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小时汇总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09_hourly_aggregation_demo.png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5分钟原始 -&gt; 小时汇总对比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CPU分析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03_cpu_hourly_trend.png, 04_cpu_host_comparison.png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趋势 + 主机对比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内存分析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05_memory_overview.png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内存各组件趋势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磁盘分析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06_disk_util_trend.png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磁盘使用率趋势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网络分析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07_network_traffic.png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网络带宽 + 数据包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负载分析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08_load_average.png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load1/5/15 趋势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仪表盘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10_dashboard.png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四合一综合概览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建表SQL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create_schema.sql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完整建表语句 (3表+2视图+索引)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ETL脚本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etl_import.py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数据导入 + 时间戳转换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汇总脚本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hourly_summary.py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小时汇总 + CSV 导出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tsar_monitor.db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SQLite 数据库文件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3E50"/>
      <w:sz w:val="36"/>
      <w:szCs w:val="28"/>
      <w:rFonts w:eastAsia="Microsoft YaHei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30"/>
      <w:szCs w:val="26"/>
      <w:rFonts w:eastAsia="Microsoft YaHei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rFonts w:eastAsia="Microsoft YaHei"/>
      <w:color w:val="2C3E50"/>
      <w:sz w:val="26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rFonts w:eastAsia="Microsoft YaHe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rFonts w:eastAsia="Microsoft YaHe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rFonts w:eastAsia="Microsoft YaHe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rFonts w:eastAsia="Microsoft YaHe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rFonts w:eastAsia="Microsoft YaHe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Fonts w:eastAsia="Microsoft YaHei"/>
    </w:rPr>
  </w:style>
  <w:style w:type="character" w:default="1" w:styleId="DefaultParagraphFont">
    <w:name w:val="Default Paragraph Font"/>
    <w:uiPriority w:val="1"/>
    <w:semiHidden/>
    <w:unhideWhenUsed/>
    <w:rPr>
      <w:rFonts w:eastAsia="Microsoft YaHei"/>
    </w:rPr>
  </w:style>
  <w:style w:type="table" w:default="1" w:styleId="TableNormal">
    <w:name w:val="Normal Table"/>
    <w:uiPriority w:val="99"/>
    <w:semiHidden/>
    <w:unhideWhenUsed/>
    <w:rPr>
      <w:rFonts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eastAsia="Microsoft YaHei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Fonts w:eastAsia="Microsoft YaHei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Fonts w:eastAsia="Microsoft YaHei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rFonts w:eastAsia="Microsoft YaHei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Fonts w:eastAsia="Microsoft YaHe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Fonts w:eastAsia="Microsoft YaHei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rFonts w:eastAsia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rFonts w:eastAsia="Microsoft YaHei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eastAsia="Microsoft YaHei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eastAsia="Microsoft YaHei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rFonts w:eastAsia="Microsoft YaHei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rFonts w:eastAsia="Microsoft YaHei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eastAsia="Microsoft YaHei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eastAsia="Microsoft YaHe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rFonts w:eastAsia="Microsoft YaHe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rFonts w:eastAsia="Microsoft YaHe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rFonts w:eastAsia="Microsoft YaHe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rFonts w:eastAsia="Microsoft YaHe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rFonts w:eastAsia="Microsoft YaHe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Fonts w:eastAsia="Microsoft YaHe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eastAsia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eastAsia="Microsoft YaHei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eastAsia="Microsoft YaHei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eastAsia="Microsoft YaHe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eastAsia="Microsoft YaHei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eastAsia="Microsoft YaHei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eastAsia="Microsoft YaHei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eastAsia="Microsoft YaHei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eastAsia="Microsoft YaHei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eastAsia="Microsoft YaHe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eastAsia="Microsoft YaHei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