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A1A1A"/>
          <w:sz w:val="32"/>
          <w:szCs w:val="32"/>
        </w:rPr>
        <w:t xml:space="preserve">Risk Assessment: Executive Summary</w:t>
      </w:r>
    </w:p>
    <w:p>
      <w:pPr>
        <w:spacing w:after="40"/>
      </w:pPr>
      <w:r>
        <w:rPr>
          <w:rFonts w:ascii="Arial" w:cs="Arial" w:eastAsia="Arial" w:hAnsi="Arial"/>
          <w:color w:val="555555"/>
          <w:sz w:val="24"/>
          <w:szCs w:val="24"/>
        </w:rPr>
        <w:t xml:space="preserve">Microsoft Azure Australia</w:t>
      </w:r>
    </w:p>
    <w:p>
      <w:pPr>
        <w:spacing w:after="240"/>
      </w:pPr>
      <w:r>
        <w:rPr>
          <w:rFonts w:ascii="Arial" w:cs="Arial" w:eastAsia="Arial" w:hAnsi="Arial"/>
          <w:color w:val="999999"/>
          <w:sz w:val="18"/>
          <w:szCs w:val="18"/>
        </w:rPr>
        <w:t xml:space="preserve">Security, Privacy &amp; GRC  |  ISO 27001:2022  |  March 2026</w:t>
      </w:r>
    </w:p>
    <w:p>
      <w:pPr>
        <w:pStyle w:val="Heading1"/>
      </w:pPr>
      <w:r>
        <w:rPr>
          <w:rFonts w:ascii="Arial" w:cs="Arial" w:eastAsia="Arial" w:hAnsi="Arial"/>
        </w:rPr>
        <w:t xml:space="preserve">Overview</w:t>
      </w:r>
    </w:p>
    <w:p>
      <w:pPr>
        <w:spacing w:after="160"/>
      </w:pPr>
      <w:r>
        <w:rPr>
          <w:rFonts w:ascii="Arial" w:cs="Arial" w:eastAsia="Arial" w:hAnsi="Arial"/>
          <w:color w:val="1A1A1A"/>
          <w:sz w:val="21"/>
          <w:szCs w:val="21"/>
        </w:rPr>
        <w:t xml:space="preserve">This assessment evaluates Microsoft Azure's Australian cloud regions from a security, privacy, and governance perspective. Azure Australia offers a mature compliance foundation: ISO/IEC 27001:2022 certification (valid through June 2026), IRAP PROTECTED assessment covering 113 services across four Australian datacenter regions, and a comprehensive certification stack including SOC 1/2/3, ISO 27017/27018/27701, and CSA STAR Gold.</w:t>
      </w:r>
    </w:p>
    <w:p>
      <w:pPr>
        <w:spacing w:after="160"/>
      </w:pPr>
      <w:r>
        <w:rPr>
          <w:rFonts w:ascii="Arial" w:cs="Arial" w:eastAsia="Arial" w:hAnsi="Arial"/>
          <w:color w:val="1A1A1A"/>
          <w:sz w:val="21"/>
          <w:szCs w:val="21"/>
        </w:rPr>
        <w:t xml:space="preserve">The Australian regulatory landscape shifted materially in late 2024 with the passage of the Privacy and Other Legislation Amendment Act 2024, introducing a statutory tort for serious privacy invasions, tiered civil penalties (up to AUD 50 million or 30% of turnover), and automated decision-making transparency requirements effective December 2026. The SOCI Act's 2024 amendments now explicitly cover cloud-hosted data storage systems as part of critical infrastructure assets.</w:t>
      </w:r>
    </w:p>
    <w:p>
      <w:pPr>
        <w:spacing w:after="160"/>
      </w:pPr>
      <w:r>
        <w:rPr>
          <w:rFonts w:ascii="Arial" w:cs="Arial" w:eastAsia="Arial" w:hAnsi="Arial"/>
          <w:b/>
          <w:bCs/>
          <w:color w:val="1A1A1A"/>
          <w:sz w:val="21"/>
          <w:szCs w:val="21"/>
        </w:rPr>
        <w:t xml:space="preserve">Core finding: </w:t>
      </w:r>
      <w:r>
        <w:rPr>
          <w:rFonts w:ascii="Arial" w:cs="Arial" w:eastAsia="Arial" w:hAnsi="Arial"/>
          <w:color w:val="1A1A1A"/>
          <w:sz w:val="21"/>
          <w:szCs w:val="21"/>
        </w:rPr>
        <w:t xml:space="preserve">Azure's platform controls are well-certified. The material risk exposure sits in the gap between what Microsoft certifies and what customers actually implement. The shared responsibility model places identity management, data classification, encryption key decisions, network security, and compliance monitoring squarely on the customer side.</w:t>
      </w:r>
    </w:p>
    <w:p>
      <w:pPr>
        <w:pStyle w:val="Heading1"/>
      </w:pPr>
      <w:r>
        <w:rPr>
          <w:rFonts w:ascii="Arial" w:cs="Arial" w:eastAsia="Arial" w:hAnsi="Arial"/>
        </w:rPr>
        <w:t xml:space="preserve">Risk Distribution</w:t>
      </w:r>
    </w:p>
    <w:p>
      <w:pPr>
        <w:spacing w:after="160"/>
      </w:pPr>
      <w:r>
        <w:rPr>
          <w:rFonts w:ascii="Arial" w:cs="Arial" w:eastAsia="Arial" w:hAnsi="Arial"/>
          <w:color w:val="1A1A1A"/>
          <w:sz w:val="21"/>
          <w:szCs w:val="21"/>
        </w:rPr>
        <w:t xml:space="preserve">Twelve risks identified across four domains: data sovereignty (3), regulatory compliance (5), operational security (3), and supply chain (1). Distribution: 1 Critical, 4 High, 7 Medium, 0 Low. No risks rated Low, reflecting the tightened Australian regulatory environment.</w:t>
      </w:r>
    </w:p>
    <w:p>
      <w:r>
        <w:br w:type="page"/>
      </w:r>
    </w:p>
    <w:p>
      <w:pPr>
        <w:pStyle w:val="Heading1"/>
      </w:pPr>
      <w:r>
        <w:rPr>
          <w:rFonts w:ascii="Arial" w:cs="Arial" w:eastAsia="Arial" w:hAnsi="Arial"/>
        </w:rPr>
        <w:t xml:space="preserve">Consolidated Risk Register</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4440"/>
        <w:gridCol w:w="900"/>
        <w:gridCol w:w="3900"/>
      </w:tblGrid>
      <w:tr>
        <w:tc>
          <w:tcPr>
            <w:tcW w:type="dxa" w:w="600"/>
            <w:tcBorders>
              <w:top w:val="single" w:color="D0D0D0" w:sz="1"/>
              <w:left w:val="single" w:color="D0D0D0" w:sz="1"/>
              <w:bottom w:val="single" w:color="D0D0D0" w:sz="1"/>
              <w:right w:val="single" w:color="D0D0D0" w:sz="1"/>
            </w:tcBorders>
            <w:shd w:fill="F0F0F0" w:val="clear"/>
            <w:tcMar>
              <w:top w:type="dxa" w:w="60"/>
              <w:left w:type="dxa" w:w="100"/>
              <w:bottom w:type="dxa" w:w="60"/>
              <w:right w:type="dxa" w:w="100"/>
            </w:tcMar>
          </w:tcPr>
          <w:p>
            <w:r>
              <w:rPr>
                <w:rFonts w:ascii="Arial" w:cs="Arial" w:eastAsia="Arial" w:hAnsi="Arial"/>
                <w:b/>
                <w:bCs/>
                <w:color w:val="1A1A1A"/>
                <w:sz w:val="18"/>
                <w:szCs w:val="18"/>
              </w:rPr>
              <w:t xml:space="preserve">ID</w:t>
            </w:r>
          </w:p>
        </w:tc>
        <w:tc>
          <w:tcPr>
            <w:tcW w:type="dxa" w:w="4440"/>
            <w:tcBorders>
              <w:top w:val="single" w:color="D0D0D0" w:sz="1"/>
              <w:left w:val="single" w:color="D0D0D0" w:sz="1"/>
              <w:bottom w:val="single" w:color="D0D0D0" w:sz="1"/>
              <w:right w:val="single" w:color="D0D0D0" w:sz="1"/>
            </w:tcBorders>
            <w:shd w:fill="F0F0F0" w:val="clear"/>
            <w:tcMar>
              <w:top w:type="dxa" w:w="60"/>
              <w:left w:type="dxa" w:w="100"/>
              <w:bottom w:type="dxa" w:w="60"/>
              <w:right w:type="dxa" w:w="100"/>
            </w:tcMar>
          </w:tcPr>
          <w:p>
            <w:r>
              <w:rPr>
                <w:rFonts w:ascii="Arial" w:cs="Arial" w:eastAsia="Arial" w:hAnsi="Arial"/>
                <w:b/>
                <w:bCs/>
                <w:color w:val="1A1A1A"/>
                <w:sz w:val="18"/>
                <w:szCs w:val="18"/>
              </w:rPr>
              <w:t xml:space="preserve">Risk</w:t>
            </w:r>
          </w:p>
        </w:tc>
        <w:tc>
          <w:tcPr>
            <w:tcW w:type="dxa" w:w="900"/>
            <w:tcBorders>
              <w:top w:val="single" w:color="D0D0D0" w:sz="1"/>
              <w:left w:val="single" w:color="D0D0D0" w:sz="1"/>
              <w:bottom w:val="single" w:color="D0D0D0" w:sz="1"/>
              <w:right w:val="single" w:color="D0D0D0" w:sz="1"/>
            </w:tcBorders>
            <w:shd w:fill="F0F0F0" w:val="clear"/>
            <w:tcMar>
              <w:top w:type="dxa" w:w="60"/>
              <w:left w:type="dxa" w:w="100"/>
              <w:bottom w:type="dxa" w:w="60"/>
              <w:right w:type="dxa" w:w="100"/>
            </w:tcMar>
          </w:tcPr>
          <w:p>
            <w:r>
              <w:rPr>
                <w:rFonts w:ascii="Arial" w:cs="Arial" w:eastAsia="Arial" w:hAnsi="Arial"/>
                <w:b/>
                <w:bCs/>
                <w:color w:val="1A1A1A"/>
                <w:sz w:val="18"/>
                <w:szCs w:val="18"/>
              </w:rPr>
              <w:t xml:space="preserve">Rating</w:t>
            </w:r>
          </w:p>
        </w:tc>
        <w:tc>
          <w:tcPr>
            <w:tcW w:type="dxa" w:w="3900"/>
            <w:tcBorders>
              <w:top w:val="single" w:color="D0D0D0" w:sz="1"/>
              <w:left w:val="single" w:color="D0D0D0" w:sz="1"/>
              <w:bottom w:val="single" w:color="D0D0D0" w:sz="1"/>
              <w:right w:val="single" w:color="D0D0D0" w:sz="1"/>
            </w:tcBorders>
            <w:shd w:fill="F0F0F0" w:val="clear"/>
            <w:tcMar>
              <w:top w:type="dxa" w:w="60"/>
              <w:left w:type="dxa" w:w="100"/>
              <w:bottom w:type="dxa" w:w="60"/>
              <w:right w:type="dxa" w:w="100"/>
            </w:tcMar>
          </w:tcPr>
          <w:p>
            <w:r>
              <w:rPr>
                <w:rFonts w:ascii="Arial" w:cs="Arial" w:eastAsia="Arial" w:hAnsi="Arial"/>
                <w:b/>
                <w:bCs/>
                <w:color w:val="1A1A1A"/>
                <w:sz w:val="18"/>
                <w:szCs w:val="18"/>
              </w:rPr>
              <w:t xml:space="preserve">Priority Action</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R-09</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IAM misconfiguration: excessive permissions, missing MFA, stale service principals. Entirely customer-responsible.</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Critical</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Enforce conditional access + MFA; implement privileged access management; quarterly access reviews.</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R-04</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Statutory tort (2024) creates direct litigation exposure from individuals for cloud misconfigurations resulting in unauthorized disclosure.</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High</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Privacy impact assessments for all Azure workloads; least-privilege access; DLP.</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R-06</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APP 11 security obligations not satisfied by platform certification alone. Customer must implement app-layer controls.</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High</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Deploy CSPM solution; RBAC; encryption at rest (CMK where needed); NSGs + WAF.</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R-07</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NDB scheme breach detection depends on customer monitoring. Gaps in CSPM or log analytics coverage delay identification.</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High</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Enable SIEM across all subscriptions; configure alerts; breach response runbook.</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R-08</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SOCI Act 2024 amendments: cloud data storage now part of critical infrastructure. CIRMP must cover Azure.</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High</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Include Azure in CIRMP; vendor risk assessment of Microsoft; 12-hr ACSC reporting.</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R-01</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Certain services (Entra MFA, Databricks, Security Center) process limited data outside Australia.</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Document cross-border flows; restrict sensitive workloads on affected services.</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R-02</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Global MSRC security operations may access data across geo boundaries for threat detection.</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Review DPA terms; assess against ISM/PSPF; use AU Central for sensitive data.</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R-03</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DR misconfiguration could replicate data outside Australian geography.</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Cloud policy region restrictions; validate GRS/ZRS configs; test DR failover.</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R-05</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Automated decision-making transparency (Dec 2026) implicates Azure AI/ML workloads.</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Inventory automated decision systems; prepare disclosure framework before deadline.</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R-10</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Customer-managed key complexity: key management service misconfiguration or key loss = data unavailability.</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Soft-delete + purge protection; key rotation procedures; offline backup for DR.</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R-11</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ISO 27001:2022 Azure Policy initiative (63 policies) has gaps vs. 2013 version (452 policies).</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Supplement with custom policies; manual assessment for gaps; CSPM compliance dashboard.</w:t>
            </w:r>
          </w:p>
        </w:tc>
      </w:tr>
      <w:tr>
        <w:tc>
          <w:tcPr>
            <w:tcW w:type="dxa" w:w="6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bCs/>
                <w:color w:val="1A1A1A"/>
                <w:sz w:val="18"/>
                <w:szCs w:val="18"/>
              </w:rPr>
              <w:t xml:space="preserve">R-12</w:t>
            </w:r>
          </w:p>
        </w:tc>
        <w:tc>
          <w:tcPr>
            <w:tcW w:type="dxa" w:w="444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Microsoft supply chain concentration risk. Global incident would impact AU operations.</w:t>
            </w:r>
          </w:p>
        </w:tc>
        <w:tc>
          <w:tcPr>
            <w:tcW w:type="dxa" w:w="900"/>
            <w:tcBorders>
              <w:top w:val="single" w:color="D0D0D0" w:sz="1"/>
              <w:left w:val="single" w:color="D0D0D0" w:sz="1"/>
              <w:bottom w:val="single" w:color="D0D0D0" w:sz="1"/>
              <w:right w:val="single" w:color="D0D0D0" w:sz="1"/>
            </w:tcBorders>
            <w:tcMar>
              <w:top w:type="dxa" w:w="60"/>
              <w:left w:type="dxa" w:w="100"/>
              <w:bottom w:type="dxa" w:w="60"/>
              <w:right w:type="dxa" w:w="100"/>
            </w:tcMar>
          </w:tcPr>
          <w:p>
            <w:pPr>
              <w:jc w:val="center"/>
            </w:pPr>
            <w:r>
              <w:rPr>
                <w:rFonts w:ascii="Arial" w:cs="Arial" w:eastAsia="Arial" w:hAnsi="Arial"/>
                <w:b/>
                <w:bCs/>
                <w:color w:val="1A1A1A"/>
                <w:sz w:val="18"/>
                <w:szCs w:val="18"/>
              </w:rPr>
              <w:t xml:space="preserve">Medium</w:t>
            </w:r>
          </w:p>
        </w:tc>
        <w:tc>
          <w:tcPr>
            <w:tcW w:type="dxa" w:w="3900"/>
            <w:tcBorders>
              <w:top w:val="single" w:color="D0D0D0" w:sz="1"/>
              <w:left w:val="single" w:color="D0D0D0" w:sz="1"/>
              <w:bottom w:val="single" w:color="D0D0D0" w:sz="1"/>
              <w:right w:val="single" w:color="D0D0D0"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Exit strategy docs; multi-cloud DR evaluation; monitor advisories; subprocessor reviews.</w:t>
            </w:r>
          </w:p>
        </w:tc>
      </w:tr>
    </w:tbl>
    <w:p>
      <w:r>
        <w:br w:type="page"/>
      </w:r>
    </w:p>
    <w:p>
      <w:pPr>
        <w:pStyle w:val="Heading1"/>
      </w:pPr>
      <w:r>
        <w:rPr>
          <w:rFonts w:ascii="Arial" w:cs="Arial" w:eastAsia="Arial" w:hAnsi="Arial"/>
        </w:rPr>
        <w:t xml:space="preserve">Priority Recommendations</w:t>
      </w:r>
    </w:p>
    <w:p>
      <w:pPr>
        <w:pStyle w:val="Heading2"/>
      </w:pPr>
      <w:r>
        <w:rPr>
          <w:rFonts w:ascii="Arial" w:cs="Arial" w:eastAsia="Arial" w:hAnsi="Arial"/>
        </w:rPr>
        <w:t xml:space="preserve">Immediate (0-90 Days)</w:t>
      </w:r>
    </w:p>
    <w:p>
      <w:pPr>
        <w:pStyle w:val="ListParagraph"/>
        <w:numPr>
          <w:ilvl w:val="0"/>
          <w:numId w:val="2"/>
        </w:numPr>
        <w:spacing w:after="80"/>
      </w:pPr>
      <w:r>
        <w:rPr>
          <w:rFonts w:ascii="Arial" w:cs="Arial" w:eastAsia="Arial" w:hAnsi="Arial"/>
          <w:color w:val="1A1A1A"/>
          <w:sz w:val="20"/>
          <w:szCs w:val="20"/>
        </w:rPr>
        <w:t xml:space="preserve">Deploy the ISO 27001:2022 regulatory compliance initiative across all Australian subscriptions and establish baseline compliance scores in a CSPM dashboard.</w:t>
      </w:r>
    </w:p>
    <w:p>
      <w:pPr>
        <w:pStyle w:val="ListParagraph"/>
        <w:numPr>
          <w:ilvl w:val="0"/>
          <w:numId w:val="2"/>
        </w:numPr>
        <w:spacing w:after="80"/>
      </w:pPr>
      <w:r>
        <w:rPr>
          <w:rFonts w:ascii="Arial" w:cs="Arial" w:eastAsia="Arial" w:hAnsi="Arial"/>
          <w:color w:val="1A1A1A"/>
          <w:sz w:val="20"/>
          <w:szCs w:val="20"/>
        </w:rPr>
        <w:t xml:space="preserve">Enforce conditional access policies requiring MFA for all users; implement privileged access management for administrative roles.</w:t>
      </w:r>
    </w:p>
    <w:p>
      <w:pPr>
        <w:pStyle w:val="ListParagraph"/>
        <w:numPr>
          <w:ilvl w:val="0"/>
          <w:numId w:val="2"/>
        </w:numPr>
        <w:spacing w:after="80"/>
      </w:pPr>
      <w:r>
        <w:rPr>
          <w:rFonts w:ascii="Arial" w:cs="Arial" w:eastAsia="Arial" w:hAnsi="Arial"/>
          <w:color w:val="1A1A1A"/>
          <w:sz w:val="20"/>
          <w:szCs w:val="20"/>
        </w:rPr>
        <w:t xml:space="preserve">Document all Azure services with cross-border data flows; map against APP 8 disclosure requirements.</w:t>
      </w:r>
    </w:p>
    <w:p>
      <w:pPr>
        <w:pStyle w:val="ListParagraph"/>
        <w:numPr>
          <w:ilvl w:val="0"/>
          <w:numId w:val="2"/>
        </w:numPr>
        <w:spacing w:after="80"/>
      </w:pPr>
      <w:r>
        <w:rPr>
          <w:rFonts w:ascii="Arial" w:cs="Arial" w:eastAsia="Arial" w:hAnsi="Arial"/>
          <w:color w:val="1A1A1A"/>
          <w:sz w:val="20"/>
          <w:szCs w:val="20"/>
        </w:rPr>
        <w:t xml:space="preserve">Enable a SIEM solution with alert rules across all subscriptions; validate breach detection against NDB reporting timelines.</w:t>
      </w:r>
    </w:p>
    <w:p>
      <w:pPr>
        <w:pStyle w:val="Heading2"/>
      </w:pPr>
      <w:r>
        <w:rPr>
          <w:rFonts w:ascii="Arial" w:cs="Arial" w:eastAsia="Arial" w:hAnsi="Arial"/>
        </w:rPr>
        <w:t xml:space="preserve">Short-Term (90-180 Days)</w:t>
      </w:r>
    </w:p>
    <w:p>
      <w:pPr>
        <w:pStyle w:val="ListParagraph"/>
        <w:numPr>
          <w:ilvl w:val="0"/>
          <w:numId w:val="2"/>
        </w:numPr>
        <w:spacing w:after="80"/>
      </w:pPr>
      <w:r>
        <w:rPr>
          <w:rFonts w:ascii="Arial" w:cs="Arial" w:eastAsia="Arial" w:hAnsi="Arial"/>
          <w:color w:val="1A1A1A"/>
          <w:sz w:val="20"/>
          <w:szCs w:val="20"/>
        </w:rPr>
        <w:t xml:space="preserve">Conduct privacy impact assessments for all Azure workloads processing personal information under the new statutory tort risk profile.</w:t>
      </w:r>
    </w:p>
    <w:p>
      <w:pPr>
        <w:pStyle w:val="ListParagraph"/>
        <w:numPr>
          <w:ilvl w:val="0"/>
          <w:numId w:val="2"/>
        </w:numPr>
        <w:spacing w:after="80"/>
      </w:pPr>
      <w:r>
        <w:rPr>
          <w:rFonts w:ascii="Arial" w:cs="Arial" w:eastAsia="Arial" w:hAnsi="Arial"/>
          <w:color w:val="1A1A1A"/>
          <w:sz w:val="20"/>
          <w:szCs w:val="20"/>
        </w:rPr>
        <w:t xml:space="preserve">For SOCI-regulated entities: expand CIRMP to include Azure infrastructure; conduct supply chain risk assessment of Microsoft; validate 12-hour ACSC incident reporting.</w:t>
      </w:r>
    </w:p>
    <w:p>
      <w:pPr>
        <w:pStyle w:val="ListParagraph"/>
        <w:numPr>
          <w:ilvl w:val="0"/>
          <w:numId w:val="2"/>
        </w:numPr>
        <w:spacing w:after="80"/>
      </w:pPr>
      <w:r>
        <w:rPr>
          <w:rFonts w:ascii="Arial" w:cs="Arial" w:eastAsia="Arial" w:hAnsi="Arial"/>
          <w:color w:val="1A1A1A"/>
          <w:sz w:val="20"/>
          <w:szCs w:val="20"/>
        </w:rPr>
        <w:t xml:space="preserve">Deploy a DLP solution with custom sensitive information types for Australian identifiers (TFN, Medicare, ABN).</w:t>
      </w:r>
    </w:p>
    <w:p>
      <w:pPr>
        <w:pStyle w:val="ListParagraph"/>
        <w:numPr>
          <w:ilvl w:val="0"/>
          <w:numId w:val="2"/>
        </w:numPr>
        <w:spacing w:after="80"/>
      </w:pPr>
      <w:r>
        <w:rPr>
          <w:rFonts w:ascii="Arial" w:cs="Arial" w:eastAsia="Arial" w:hAnsi="Arial"/>
          <w:color w:val="1A1A1A"/>
          <w:sz w:val="20"/>
          <w:szCs w:val="20"/>
        </w:rPr>
        <w:t xml:space="preserve">Implement cloud policy resource location restrictions to prevent accidental deployment outside Australian regions.</w:t>
      </w:r>
    </w:p>
    <w:p>
      <w:pPr>
        <w:pStyle w:val="Heading2"/>
      </w:pPr>
      <w:r>
        <w:rPr>
          <w:rFonts w:ascii="Arial" w:cs="Arial" w:eastAsia="Arial" w:hAnsi="Arial"/>
        </w:rPr>
        <w:t xml:space="preserve">Medium-Term (180-365 Days)</w:t>
      </w:r>
    </w:p>
    <w:p>
      <w:pPr>
        <w:pStyle w:val="ListParagraph"/>
        <w:numPr>
          <w:ilvl w:val="0"/>
          <w:numId w:val="2"/>
        </w:numPr>
        <w:spacing w:after="80"/>
      </w:pPr>
      <w:r>
        <w:rPr>
          <w:rFonts w:ascii="Arial" w:cs="Arial" w:eastAsia="Arial" w:hAnsi="Arial"/>
          <w:color w:val="1A1A1A"/>
          <w:sz w:val="20"/>
          <w:szCs w:val="20"/>
        </w:rPr>
        <w:t xml:space="preserve">Prepare automated decision-making disclosure framework ahead of December 2026 transparency requirement.</w:t>
      </w:r>
    </w:p>
    <w:p>
      <w:pPr>
        <w:pStyle w:val="ListParagraph"/>
        <w:numPr>
          <w:ilvl w:val="0"/>
          <w:numId w:val="2"/>
        </w:numPr>
        <w:spacing w:after="80"/>
      </w:pPr>
      <w:r>
        <w:rPr>
          <w:rFonts w:ascii="Arial" w:cs="Arial" w:eastAsia="Arial" w:hAnsi="Arial"/>
          <w:color w:val="1A1A1A"/>
          <w:sz w:val="20"/>
          <w:szCs w:val="20"/>
        </w:rPr>
        <w:t xml:space="preserve">Develop and test cloud exit strategy including data extraction procedures and target platform evaluation.</w:t>
      </w:r>
    </w:p>
    <w:p>
      <w:pPr>
        <w:pStyle w:val="ListParagraph"/>
        <w:numPr>
          <w:ilvl w:val="0"/>
          <w:numId w:val="2"/>
        </w:numPr>
        <w:spacing w:after="80"/>
      </w:pPr>
      <w:r>
        <w:rPr>
          <w:rFonts w:ascii="Arial" w:cs="Arial" w:eastAsia="Arial" w:hAnsi="Arial"/>
          <w:color w:val="1A1A1A"/>
          <w:sz w:val="20"/>
          <w:szCs w:val="20"/>
        </w:rPr>
        <w:t xml:space="preserve">Establish continuous compliance monitoring with quarterly control assessment cycles aligned to ISO 27001 internal audit requirements.</w:t>
      </w:r>
    </w:p>
    <w:p>
      <w:pPr>
        <w:pStyle w:val="ListParagraph"/>
        <w:numPr>
          <w:ilvl w:val="0"/>
          <w:numId w:val="2"/>
        </w:numPr>
        <w:spacing w:after="80"/>
      </w:pPr>
      <w:r>
        <w:rPr>
          <w:rFonts w:ascii="Arial" w:cs="Arial" w:eastAsia="Arial" w:hAnsi="Arial"/>
          <w:color w:val="1A1A1A"/>
          <w:sz w:val="20"/>
          <w:szCs w:val="20"/>
        </w:rPr>
        <w:t xml:space="preserve">Evaluate customer-managed keys for PROTECTED-classified workloads with documented key management procedures.</w:t>
      </w:r>
    </w:p>
    <w:p>
      <w:pPr>
        <w:spacing w:after="200"/>
      </w:pPr>
    </w:p>
    <w:p>
      <w:pPr>
        <w:pStyle w:val="Heading1"/>
      </w:pPr>
      <w:r>
        <w:rPr>
          <w:rFonts w:ascii="Arial" w:cs="Arial" w:eastAsia="Arial" w:hAnsi="Arial"/>
        </w:rPr>
        <w:t xml:space="preserve">Key Takeaway</w:t>
      </w:r>
    </w:p>
    <w:p>
      <w:pPr>
        <w:spacing w:after="160"/>
      </w:pPr>
      <w:r>
        <w:rPr>
          <w:rFonts w:ascii="Arial" w:cs="Arial" w:eastAsia="Arial" w:hAnsi="Arial"/>
          <w:color w:val="1A1A1A"/>
          <w:sz w:val="21"/>
          <w:szCs w:val="21"/>
        </w:rPr>
        <w:t xml:space="preserve">Azure Australia's compliance posture is strong at the platform level. The regulatory environment, particularly the 2024 Privacy Act and SOCI Act amendments, has raised the compliance bar faster than most organizations' cloud governance maturity has kept pace. The risks identified here are manageable with disciplined implementation, and they require deliberate investment in customer-side controls, monitoring, and governance processes. Platform certification is the starting line, not the finish.</w:t>
      </w:r>
    </w:p>
    <w:p>
      <w:pPr>
        <w:spacing w:after="60"/>
      </w:pPr>
    </w:p>
    <w:p>
      <w:pPr>
        <w:spacing w:before="100"/>
      </w:pPr>
      <w:r>
        <w:rPr>
          <w:rFonts w:ascii="Arial" w:cs="Arial" w:eastAsia="Arial" w:hAnsi="Arial"/>
          <w:i/>
          <w:iCs/>
          <w:color w:val="999999"/>
          <w:sz w:val="18"/>
          <w:szCs w:val="18"/>
        </w:rPr>
        <w:t xml:space="preserve">Full assessment: Azure Australia Risk Assessment v1.0, March 2026</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pPr>
    <w:r>
      <w:rPr>
        <w:rFonts w:ascii="Arial" w:cs="Arial" w:eastAsia="Arial" w:hAnsi="Arial"/>
        <w:i/>
        <w:iCs/>
        <w:color w:val="999999"/>
        <w:sz w:val="16"/>
        <w:szCs w:val="16"/>
      </w:rPr>
      <w:t xml:space="preserve">Azure Australia Risk Assessment</w:t>
    </w:r>
    <w:r>
      <w:t xml:space="preserve">	</w:t>
    </w:r>
    <w:r>
      <w:rPr>
        <w:rFonts w:ascii="Arial" w:cs="Arial" w:eastAsia="Arial" w:hAnsi="Arial"/>
        <w:color w:val="999999"/>
        <w:sz w:val="16"/>
        <w:szCs w:val="16"/>
      </w:rPr>
      <w:t xml:space="preserve">Executive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1A1A1A"/>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2026-03-12T15:26:35.611Z</dcterms:created>
  <dcterms:modified xsi:type="dcterms:W3CDTF">2026-03-12T15:26:35.613Z</dcterms:modified>
</cp:coreProperties>
</file>

<file path=docProps/custom.xml><?xml version="1.0" encoding="utf-8"?>
<Properties xmlns="http://schemas.openxmlformats.org/officeDocument/2006/custom-properties" xmlns:vt="http://schemas.openxmlformats.org/officeDocument/2006/docPropsVTypes"/>
</file>