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b w:val="1"/>
          <w:bCs w:val="1"/>
          <w:color w:val="1a1a1a"/>
          <w:sz w:val="52"/>
          <w:szCs w:val="52"/>
          <w:rtl w:val="0"/>
        </w:rPr>
        <w:t xml:space="preserve">Risk Assessment</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Arial" w:cs="Arial" w:eastAsia="Arial" w:hAnsi="Arial"/>
          <w:color w:val="555555"/>
          <w:sz w:val="32"/>
          <w:szCs w:val="32"/>
          <w:rtl w:val="0"/>
        </w:rPr>
        <w:t xml:space="preserve">Microsoft Azure Australia</w:t>
      </w: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Fonts w:ascii="Arial" w:cs="Arial" w:eastAsia="Arial" w:hAnsi="Arial"/>
          <w:color w:val="555555"/>
          <w:sz w:val="24"/>
          <w:szCs w:val="24"/>
          <w:rtl w:val="0"/>
        </w:rPr>
        <w:t xml:space="preserve">Security, Privacy &amp; GRC Perspective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Arial" w:cs="Arial" w:eastAsia="Arial" w:hAnsi="Arial"/>
          <w:color w:val="555555"/>
          <w:sz w:val="19"/>
          <w:szCs w:val="19"/>
          <w:rtl w:val="0"/>
        </w:rPr>
        <w:t xml:space="preserve">ISO/IEC 27001:2022 Alignment  |  Australian Privacy Act 1988  |  IRAP PROTECTED</w:t>
      </w:r>
      <w:r w:rsidDel="00000000" w:rsidR="00000000" w:rsidRPr="00000000">
        <w:rPr>
          <w:rtl w:val="0"/>
        </w:rPr>
      </w:r>
    </w:p>
    <w:p w:rsidR="00000000" w:rsidDel="00000000" w:rsidP="00000000" w:rsidRDefault="00000000" w:rsidRPr="00000000" w14:paraId="00000006">
      <w:pPr>
        <w:spacing w:before="1600" w:lineRule="auto"/>
        <w:rPr/>
      </w:pP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Arial" w:cs="Arial" w:eastAsia="Arial" w:hAnsi="Arial"/>
          <w:b w:val="1"/>
          <w:bCs w:val="1"/>
          <w:color w:val="1a1a1a"/>
          <w:sz w:val="20"/>
          <w:szCs w:val="20"/>
          <w:rtl w:val="0"/>
        </w:rPr>
        <w:t xml:space="preserve">Date: </w:t>
      </w:r>
      <w:r w:rsidDel="00000000" w:rsidR="00000000" w:rsidRPr="00000000">
        <w:rPr>
          <w:rFonts w:ascii="Arial" w:cs="Arial" w:eastAsia="Arial" w:hAnsi="Arial"/>
          <w:color w:val="1a1a1a"/>
          <w:sz w:val="20"/>
          <w:szCs w:val="20"/>
          <w:rtl w:val="0"/>
        </w:rPr>
        <w:t xml:space="preserve">March 2026</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Arial" w:cs="Arial" w:eastAsia="Arial" w:hAnsi="Arial"/>
          <w:b w:val="1"/>
          <w:bCs w:val="1"/>
          <w:color w:val="1a1a1a"/>
          <w:sz w:val="20"/>
          <w:szCs w:val="20"/>
          <w:rtl w:val="0"/>
        </w:rPr>
        <w:t xml:space="preserve">Version: </w:t>
      </w: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Arial" w:cs="Arial" w:eastAsia="Arial" w:hAnsi="Arial"/>
          <w:b w:val="1"/>
          <w:bCs w:val="1"/>
          <w:color w:val="1a1a1a"/>
          <w:sz w:val="20"/>
          <w:szCs w:val="20"/>
          <w:rtl w:val="0"/>
        </w:rPr>
        <w:t xml:space="preserve">Author: </w:t>
      </w:r>
      <w:r w:rsidDel="00000000" w:rsidR="00000000" w:rsidRPr="00000000">
        <w:rPr>
          <w:color w:val="1a1a1a"/>
          <w:sz w:val="20"/>
          <w:szCs w:val="20"/>
          <w:rtl w:val="0"/>
        </w:rPr>
        <w:t xml:space="preserve">HireRight</w:t>
      </w:r>
      <w:r w:rsidDel="00000000" w:rsidR="00000000" w:rsidRPr="00000000">
        <w:rPr>
          <w:rtl w:val="0"/>
        </w:rPr>
      </w:r>
    </w:p>
    <w:p w:rsidR="00000000" w:rsidDel="00000000" w:rsidP="00000000" w:rsidRDefault="00000000" w:rsidRPr="00000000" w14:paraId="0000000A">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w:cs="Arial" w:eastAsia="Arial" w:hAnsi="Arial"/>
          <w:rtl w:val="0"/>
        </w:rPr>
        <w:t xml:space="preserve">1. Executive Summary</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Fonts w:ascii="Arial" w:cs="Arial" w:eastAsia="Arial" w:hAnsi="Arial"/>
          <w:color w:val="1a1a1a"/>
          <w:sz w:val="22"/>
          <w:szCs w:val="22"/>
          <w:rtl w:val="0"/>
        </w:rPr>
        <w:t xml:space="preserve">This risk assessment evaluates Microsoft Azure's Australian cloud regions from a security, privacy, and governance perspective, framed against ISO/IEC 27001:2022 requirements and the Australian regulatory environment. The assessment scope covers Azure's four Australian datacenter regions (Australia East, Australia Southeast, Australia Central, and Australia Central 2), Microsoft's compliance posture, and the shared responsibility obligations that fall to any organization deploying workloads on this platform.</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Fonts w:ascii="Arial" w:cs="Arial" w:eastAsia="Arial" w:hAnsi="Arial"/>
          <w:color w:val="1a1a1a"/>
          <w:sz w:val="22"/>
          <w:szCs w:val="22"/>
          <w:rtl w:val="0"/>
        </w:rPr>
        <w:t xml:space="preserve">Azure Australia presents a mature compliance foundation. Microsoft holds current ISO/IEC 27001:2022 certification covering Azure globally, has completed IRAP assessments at the PROTECTED level for 113 services across its Australian regions, and maintains certifications spanning SOC 1/2/3, ISO 27017, ISO 27018, and ISO 27701. That certification stack addresses the provider side of the equation. The shared responsibility model leaves significant control implementation, configuration, and ongoing monitoring obligations with the customer.</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Fonts w:ascii="Arial" w:cs="Arial" w:eastAsia="Arial" w:hAnsi="Arial"/>
          <w:color w:val="1a1a1a"/>
          <w:sz w:val="22"/>
          <w:szCs w:val="22"/>
          <w:rtl w:val="0"/>
        </w:rPr>
        <w:t xml:space="preserve">The Australian regulatory landscape has shifted materially since late 2024. Parliament passed the Privacy and Other Legislation Amendment Act 2024, introducing a statutory tort for serious invasions of privacy, a tiered civil penalty framework, expanded OAIC enforcement powers, and transparency requirements for automated decision-making. Organizations deploying on Azure must map these new obligations against their cloud architecture, data flows, and processing activities. Compliance with Azure's built-in controls alone will not satisfy Australian privacy law requirements without deliberate customer-side configuration and governance.</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color w:val="1a1a1a"/>
          <w:sz w:val="22"/>
          <w:szCs w:val="22"/>
          <w:rtl w:val="0"/>
        </w:rPr>
        <w:t xml:space="preserve">This assessment identifies 12 discrete risk areas across four domains: data sovereignty and residency, regulatory compliance, operational security, and third-party/supply chain risk. Each risk is rated on a likelihood/impact matrix aligned with the ISO 27005 methodology.</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Arial" w:cs="Arial" w:eastAsia="Arial" w:hAnsi="Arial"/>
          <w:rtl w:val="0"/>
        </w:rPr>
        <w:t xml:space="preserve">2. Assessment Scope and Methodology</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rtl w:val="0"/>
        </w:rPr>
        <w:t xml:space="preserve">2.1 Scope</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Fonts w:ascii="Arial" w:cs="Arial" w:eastAsia="Arial" w:hAnsi="Arial"/>
          <w:color w:val="1a1a1a"/>
          <w:sz w:val="22"/>
          <w:szCs w:val="22"/>
          <w:rtl w:val="0"/>
        </w:rPr>
        <w:t xml:space="preserve">The assessment covers the following Azure Australia infrastructure and compliance artifacts: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Azure regions: Australia East (Sydney), Australia Southeast (Melbourne), Australia Central (Canberra), Australia Central 2 (Canberra)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Microsoft's ISO/IEC 27001:2022 certification (valid through June 2026) and IRAP PROTECTED assessment covering 113 services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Australian Privacy Act 1988 (as amended by the 2024 reforms), including the 13 Australian Privacy Principles and the Notifiable Data Breaches scheme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Security of Critical Infrastructure Act 2018 (SOCI Act) as amended by the Enhanced Response and Prevention Bill 2024</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Microsoft's data processing agreements, shared responsibility model, and published data residency commitments</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Arial" w:cs="Arial" w:eastAsia="Arial" w:hAnsi="Arial"/>
          <w:rtl w:val="0"/>
        </w:rPr>
        <w:t xml:space="preserve">2.2 Methodology</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Fonts w:ascii="Arial" w:cs="Arial" w:eastAsia="Arial" w:hAnsi="Arial"/>
          <w:color w:val="1a1a1a"/>
          <w:sz w:val="22"/>
          <w:szCs w:val="22"/>
          <w:rtl w:val="0"/>
        </w:rPr>
        <w:t xml:space="preserve">Risk identification follows the ISO 27005:2022 approach: asset identification, threat enumeration, vulnerability analysis, and consequence assessment. Likelihood and impact are each scored on a five-point scale (Very Low through Very High), producing a composite risk rating of Low, Medium, High, or Critical. Control effectiveness assessments reference Microsoft's published audit artifacts from the Service Trust Portal along with publicly available technical documentation.</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Fonts w:ascii="Arial" w:cs="Arial" w:eastAsia="Arial" w:hAnsi="Arial"/>
          <w:color w:val="1a1a1a"/>
          <w:sz w:val="22"/>
          <w:szCs w:val="22"/>
          <w:rtl w:val="0"/>
        </w:rPr>
        <w:t xml:space="preserve">Residual risk ratings reflect the assumption that Microsoft's documented controls operate as certified. The ratings do not account for customer-side implementation gaps, which represent the most material variable in actual risk exposure.</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Fonts w:ascii="Arial" w:cs="Arial" w:eastAsia="Arial" w:hAnsi="Arial"/>
          <w:rtl w:val="0"/>
        </w:rPr>
        <w:t xml:space="preserve">3. Australian Regulatory Landscape</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Arial" w:cs="Arial" w:eastAsia="Arial" w:hAnsi="Arial"/>
          <w:rtl w:val="0"/>
        </w:rPr>
        <w:t xml:space="preserve">3.1 Privacy Act 1988 (as Amended 2024)</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Fonts w:ascii="Arial" w:cs="Arial" w:eastAsia="Arial" w:hAnsi="Arial"/>
          <w:color w:val="1a1a1a"/>
          <w:sz w:val="22"/>
          <w:szCs w:val="22"/>
          <w:rtl w:val="0"/>
        </w:rPr>
        <w:t xml:space="preserve">The Privacy Act 1988 remains the principal federal legislation governing personal information handling in Australia. The 13 Australian Privacy Principles (APPs) establish obligations across the full data lifecycle: collection, use, disclosure, quality, security, and individual access rights. Any organization with annual turnover exceeding AUD 3 million that processes personal information of Australian residents falls within scope, regardless of where the processing occurs.</w:t>
      </w: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Fonts w:ascii="Arial" w:cs="Arial" w:eastAsia="Arial" w:hAnsi="Arial"/>
          <w:color w:val="1a1a1a"/>
          <w:sz w:val="22"/>
          <w:szCs w:val="22"/>
          <w:rtl w:val="0"/>
        </w:rPr>
        <w:t xml:space="preserve">The 2024 amendments represent the most significant structural overhaul since the Privacy Act's inception. Three changes carry particular weight for cloud deployments. First, the statutory tort for serious invasions of privacy (effective mid-2025) creates a direct cause of action for individuals, bypassing the need for OAIC intervention. Cloud architecture decisions that result in unauthorized disclosure or processing now carry litigation risk from affected individuals, not just regulatory enforcement. Second, the tiered civil penalty framework gives the OAIC a mid-range enforcement tool: up to AUD 3.3 million per infringement notice for companies, in addition to the existing maximum of AUD 50 million or 30% of adjusted turnover for serious or repeated breaches. Third, transparency requirements for automated decision-making (effective December 2026) will require organizations to disclose when decisions with legal effect are made through automated processes, which implicates any Azure-hosted AI or ML workloads.</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Fonts w:ascii="Arial" w:cs="Arial" w:eastAsia="Arial" w:hAnsi="Arial"/>
          <w:color w:val="1a1a1a"/>
          <w:sz w:val="22"/>
          <w:szCs w:val="22"/>
          <w:rtl w:val="0"/>
        </w:rPr>
        <w:t xml:space="preserve">APP 8 governs cross-border disclosure and is directly relevant to Azure's architecture. An organization may transfer personal information overseas provided it takes reasonable steps to ensure the overseas recipient handles data consistently with the APPs. Microsoft's Data Processing Agreement and contractual commitments under the Australian Privacy Principles form part of this reasonable steps analysis. The transferring organization retains accountability under section 16C regardless. Azure's data residency commitments keep customer data within the Australian geography by default for most services. Specific exceptions exist and must be documented.</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Arial" w:cs="Arial" w:eastAsia="Arial" w:hAnsi="Arial"/>
          <w:rtl w:val="0"/>
        </w:rPr>
        <w:t xml:space="preserve">3.2 Security of Critical Infrastructure Act 2018</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Fonts w:ascii="Arial" w:cs="Arial" w:eastAsia="Arial" w:hAnsi="Arial"/>
          <w:color w:val="1a1a1a"/>
          <w:sz w:val="22"/>
          <w:szCs w:val="22"/>
          <w:rtl w:val="0"/>
        </w:rPr>
        <w:t xml:space="preserve">The SOCI Act applies to 22 asset classes across 11 critical sectors: communications, data storage or processing, defense industry, energy, financial services, food and grocery, healthcare, higher education, space technology, transport, and water. Organizations in these sectors face three positive security obligations: registration of critical assets, mandatory cyber incident reporting to the ACSC (12-hour window for significant impacts), and maintenance of a written Critical Infrastructure Risk Management Program covering cyber, physical, personnel, and supply chain hazards.</w:t>
      </w: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Fonts w:ascii="Arial" w:cs="Arial" w:eastAsia="Arial" w:hAnsi="Arial"/>
          <w:color w:val="1a1a1a"/>
          <w:sz w:val="22"/>
          <w:szCs w:val="22"/>
          <w:rtl w:val="0"/>
        </w:rPr>
        <w:t xml:space="preserve">The 2024 Enhanced Response and Prevention amendments expanded SOCI's reach in ways that intersect directly with cloud infrastructure. Data storage systems supporting critical infrastructure assets are now explicitly covered by the Act. Cloud-hosted systems that store operational data such as network configurations, encryption keys, or operational code fall within scope and must be treated as part of the critical infrastructure asset for CIRMP purposes. For organizations in SOCI-regulated sectors, Azure deployment decisions carry compliance implications that extend well beyond standard privacy obligations.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Arial" w:cs="Arial" w:eastAsia="Arial" w:hAnsi="Arial"/>
          <w:rtl w:val="0"/>
        </w:rPr>
        <w:t xml:space="preserve">3.3 IRAP and the Australian Government ISM</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rFonts w:ascii="Arial" w:cs="Arial" w:eastAsia="Arial" w:hAnsi="Arial"/>
          <w:color w:val="1a1a1a"/>
          <w:sz w:val="22"/>
          <w:szCs w:val="22"/>
          <w:rtl w:val="0"/>
        </w:rPr>
        <w:t xml:space="preserve">The Information Security Manual (ISM), maintained by the Australian Cyber Security Centre, serves as the government's baseline cybersecurity framework. IRAP assessments evaluate cloud services against ISM controls at classification levels up to and including PROTECTED. Microsoft completed IRAP assessments for Azure covering 113 services at the PROTECTED level, with reports available through the Service Trust Portal. The Australia Central and Australia Central 2 regions in Canberra are specifically provisioned for government and critical infrastructure workloads, delivered from CDC datacenters.</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Fonts w:ascii="Arial" w:cs="Arial" w:eastAsia="Arial" w:hAnsi="Arial"/>
          <w:color w:val="1a1a1a"/>
          <w:sz w:val="22"/>
          <w:szCs w:val="22"/>
          <w:rtl w:val="0"/>
        </w:rPr>
        <w:t xml:space="preserve">IRAP assessment does not equate to blanket authorization. Each agency must conduct its own risk assessment and authorization decision, applying compensating controls where residual risks remain. Services not included in the IRAP assessment scope require individual risk acceptance or may need additional controls before processing government data.</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Arial" w:cs="Arial" w:eastAsia="Arial" w:hAnsi="Arial"/>
          <w:rtl w:val="0"/>
        </w:rPr>
        <w:t xml:space="preserve">4. Azure Australia Compliance Posture</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Arial" w:cs="Arial" w:eastAsia="Arial" w:hAnsi="Arial"/>
          <w:rtl w:val="0"/>
        </w:rPr>
        <w:t xml:space="preserve">4.1 Certifications and Attestations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280"/>
        <w:gridCol w:w="2280"/>
        <w:tblGridChange w:id="0">
          <w:tblGrid>
            <w:gridCol w:w="2400"/>
            <w:gridCol w:w="2400"/>
            <w:gridCol w:w="2280"/>
            <w:gridCol w:w="22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a1a1a"/>
                <w:sz w:val="20"/>
                <w:szCs w:val="20"/>
                <w:rtl w:val="0"/>
              </w:rPr>
              <w:t xml:space="preserve">Framework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a1a1a"/>
                <w:sz w:val="20"/>
                <w:szCs w:val="20"/>
                <w:rtl w:val="0"/>
              </w:rPr>
              <w:t xml:space="preserve">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a1a1a"/>
                <w:sz w:val="20"/>
                <w:szCs w:val="20"/>
                <w:rtl w:val="0"/>
              </w:rPr>
              <w:t xml:space="preserve">Scope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a1a1a"/>
                <w:sz w:val="20"/>
                <w:szCs w:val="20"/>
                <w:rtl w:val="0"/>
              </w:rPr>
              <w:t xml:space="preserve">Notes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a1a1a"/>
                <w:sz w:val="20"/>
                <w:szCs w:val="20"/>
                <w:rtl w:val="0"/>
              </w:rPr>
              <w:t xml:space="preserve">ISO/IEC 27001:2022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a1a1a"/>
                <w:sz w:val="20"/>
                <w:szCs w:val="20"/>
                <w:rtl w:val="0"/>
              </w:rPr>
              <w:t xml:space="preserve">Certified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a1a1a"/>
                <w:sz w:val="20"/>
                <w:szCs w:val="20"/>
                <w:rtl w:val="0"/>
              </w:rPr>
              <w:t xml:space="preserve">Azure global (incl. AU)</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0"/>
                <w:szCs w:val="20"/>
                <w:rtl w:val="0"/>
              </w:rPr>
              <w:t xml:space="preserve">Valid through June 2026</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a1a1a"/>
                <w:sz w:val="20"/>
                <w:szCs w:val="20"/>
                <w:rtl w:val="0"/>
              </w:rPr>
              <w:t xml:space="preserve">ISO/IEC 27017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0"/>
                <w:szCs w:val="20"/>
                <w:rtl w:val="0"/>
              </w:rPr>
              <w:t xml:space="preserve">Certified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a1a1a"/>
                <w:sz w:val="20"/>
                <w:szCs w:val="20"/>
                <w:rtl w:val="0"/>
              </w:rPr>
              <w:t xml:space="preserve">Cloud-specific controls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0"/>
                <w:szCs w:val="20"/>
                <w:rtl w:val="0"/>
              </w:rPr>
              <w:t xml:space="preserve">Supplements 27001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a1a1a"/>
                <w:sz w:val="20"/>
                <w:szCs w:val="20"/>
                <w:rtl w:val="0"/>
              </w:rPr>
              <w:t xml:space="preserve">ISO/IEC 27018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0"/>
                <w:szCs w:val="20"/>
                <w:rtl w:val="0"/>
              </w:rPr>
              <w:t xml:space="preserve">Certified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a1a1a"/>
                <w:sz w:val="20"/>
                <w:szCs w:val="20"/>
                <w:rtl w:val="0"/>
              </w:rPr>
              <w:t xml:space="preserve">PII in public cloud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0"/>
                <w:szCs w:val="20"/>
                <w:rtl w:val="0"/>
              </w:rPr>
              <w:t xml:space="preserve">Processor obligations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a1a1a"/>
                <w:sz w:val="20"/>
                <w:szCs w:val="20"/>
                <w:rtl w:val="0"/>
              </w:rPr>
              <w:t xml:space="preserve">ISO/IEC 27701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0"/>
                <w:szCs w:val="20"/>
                <w:rtl w:val="0"/>
              </w:rPr>
              <w:t xml:space="preserve">Certified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a1a1a"/>
                <w:sz w:val="20"/>
                <w:szCs w:val="20"/>
                <w:rtl w:val="0"/>
              </w:rPr>
              <w:t xml:space="preserve">Privacy info mgmt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20"/>
                <w:szCs w:val="20"/>
                <w:rtl w:val="0"/>
              </w:rPr>
              <w:t xml:space="preserve">Extends ISMS to PIMS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a1a1a"/>
                <w:sz w:val="20"/>
                <w:szCs w:val="20"/>
                <w:rtl w:val="0"/>
              </w:rPr>
              <w:t xml:space="preserve">IRAP PROTECTED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1a"/>
                <w:sz w:val="20"/>
                <w:szCs w:val="20"/>
                <w:rtl w:val="0"/>
              </w:rPr>
              <w:t xml:space="preserve">Assessed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1a1a1a"/>
                <w:sz w:val="20"/>
                <w:szCs w:val="20"/>
                <w:rtl w:val="0"/>
              </w:rPr>
              <w:t xml:space="preserve">113 services, 4 AU regions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a1a1a"/>
                <w:sz w:val="20"/>
                <w:szCs w:val="20"/>
                <w:rtl w:val="0"/>
              </w:rPr>
              <w:t xml:space="preserve">Agency auth required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a1a1a"/>
                <w:sz w:val="20"/>
                <w:szCs w:val="20"/>
                <w:rtl w:val="0"/>
              </w:rPr>
              <w:t xml:space="preserve">SOC 1 / 2 / 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a1a1a"/>
                <w:sz w:val="20"/>
                <w:szCs w:val="20"/>
                <w:rtl w:val="0"/>
              </w:rPr>
              <w:t xml:space="preserve">Attested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a1a1a"/>
                <w:sz w:val="20"/>
                <w:szCs w:val="20"/>
                <w:rtl w:val="0"/>
              </w:rPr>
              <w:t xml:space="preserve">Azure global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a1a1a"/>
                <w:sz w:val="20"/>
                <w:szCs w:val="20"/>
                <w:rtl w:val="0"/>
              </w:rPr>
              <w:t xml:space="preserve">Annual Type II audits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a1a1a"/>
                <w:sz w:val="20"/>
                <w:szCs w:val="20"/>
                <w:rtl w:val="0"/>
              </w:rPr>
              <w:t xml:space="preserve">CSA STAR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20"/>
                <w:szCs w:val="20"/>
                <w:rtl w:val="0"/>
              </w:rPr>
              <w:t xml:space="preserve">Gold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20"/>
                <w:szCs w:val="20"/>
                <w:rtl w:val="0"/>
              </w:rPr>
              <w:t xml:space="preserve">Cloud Controls Matrix</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20"/>
                <w:szCs w:val="20"/>
                <w:rtl w:val="0"/>
              </w:rPr>
              <w:t xml:space="preserve">Highest maturity level</w:t>
            </w:r>
            <w:r w:rsidDel="00000000" w:rsidR="00000000" w:rsidRPr="00000000">
              <w:rPr>
                <w:rtl w:val="0"/>
              </w:rPr>
            </w:r>
          </w:p>
        </w:tc>
      </w:tr>
    </w:tbl>
    <w:p w:rsidR="00000000" w:rsidDel="00000000" w:rsidP="00000000" w:rsidRDefault="00000000" w:rsidRPr="00000000" w14:paraId="00000048">
      <w:pPr>
        <w:spacing w:after="200" w:lineRule="auto"/>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Fonts w:ascii="Arial" w:cs="Arial" w:eastAsia="Arial" w:hAnsi="Arial"/>
          <w:rtl w:val="0"/>
        </w:rPr>
        <w:t xml:space="preserve">4.2 Data Residency Architecture</w: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Fonts w:ascii="Arial" w:cs="Arial" w:eastAsia="Arial" w:hAnsi="Arial"/>
          <w:color w:val="1a1a1a"/>
          <w:sz w:val="22"/>
          <w:szCs w:val="22"/>
          <w:rtl w:val="0"/>
        </w:rPr>
        <w:t xml:space="preserve">Azure organizes infrastructure into geographies (geos), and the Australian geo includes four regions. For most services deployed in Australian regions, customer data remains within the Australian geography. Microsoft contractually commits not to store or process customer data outside the specified geography except for documented exceptions.</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Fonts w:ascii="Arial" w:cs="Arial" w:eastAsia="Arial" w:hAnsi="Arial"/>
          <w:color w:val="1a1a1a"/>
          <w:sz w:val="22"/>
          <w:szCs w:val="22"/>
          <w:rtl w:val="0"/>
        </w:rPr>
        <w:t xml:space="preserve">Documented exceptions to Australian data residency include several categories. Microsoft Entra ID (formerly Azure AD) stores identity data in Australia for tenants with Australian billing addresses (since February 2020). Multifactor authentication data may still be processed in the United States. Azure Databricks stores certain identity fields (username, first name, last name, email) in the US to support global platform functionality. Azure Security Center may process copies of security telemetry in the US. Global services like Azure CDN, Azure Front Door, and DNS operate from distributed infrastructure across all three Microsoft geographic areas (Americas, EMEA, Asia Pacific).</w:t>
      </w: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rFonts w:ascii="Arial" w:cs="Arial" w:eastAsia="Arial" w:hAnsi="Arial"/>
          <w:color w:val="1a1a1a"/>
          <w:sz w:val="22"/>
          <w:szCs w:val="22"/>
          <w:rtl w:val="0"/>
        </w:rPr>
        <w:t xml:space="preserve">For security operations, Microsoft transfers limited pseudonymized data and, in rare situations, limited customer data outside geographic boundaries to support 24/7 threat detection and incident response through the Microsoft Security Response Center. This processing is documented in Microsoft's data processing terms and represents a residual data sovereignty risk that organizations must evaluate against their own classification requirements.</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Arial" w:cs="Arial" w:eastAsia="Arial" w:hAnsi="Arial"/>
          <w:rtl w:val="0"/>
        </w:rPr>
        <w:t xml:space="preserve">4.3 Shared Responsibility Model</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Fonts w:ascii="Arial" w:cs="Arial" w:eastAsia="Arial" w:hAnsi="Arial"/>
          <w:color w:val="1a1a1a"/>
          <w:sz w:val="22"/>
          <w:szCs w:val="22"/>
          <w:rtl w:val="0"/>
        </w:rPr>
        <w:t xml:space="preserve">Microsoft's compliance certifications cover the platform layer. Customer responsibility varies by service model (IaaS, PaaS, SaaS) but consistently includes identity and access management configuration, data classification, encryption key management decisions, network security group rules, application-level security, and compliance monitoring. The gap between Microsoft's certified controls and a customer's actual compliance posture is entirely determined by how well the customer implements their side of this model.</w:t>
      </w: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Fonts w:ascii="Arial" w:cs="Arial" w:eastAsia="Arial" w:hAnsi="Arial"/>
          <w:color w:val="1a1a1a"/>
          <w:sz w:val="22"/>
          <w:szCs w:val="22"/>
          <w:rtl w:val="0"/>
        </w:rPr>
        <w:t xml:space="preserve">Azure provides tooling to support customer compliance: Azure Policy with built-in ISO 27001:2022 regulatory compliance initiatives, Microsoft Defender for Cloud compliance dashboards, and Azure Security Center continuous assessment. These tools provide visibility. They do not enforce compliance. The customer must configure, monitor, and remediate findings actively.</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Fonts w:ascii="Arial" w:cs="Arial" w:eastAsia="Arial" w:hAnsi="Arial"/>
          <w:rtl w:val="0"/>
        </w:rPr>
        <w:t xml:space="preserve">5. Risk Register</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Fonts w:ascii="Arial" w:cs="Arial" w:eastAsia="Arial" w:hAnsi="Arial"/>
          <w:color w:val="1a1a1a"/>
          <w:sz w:val="22"/>
          <w:szCs w:val="22"/>
          <w:rtl w:val="0"/>
        </w:rPr>
        <w:t xml:space="preserve">The following register identifies risks organized by domain. Ratings reflect inherent risk after accounting for Microsoft's certified platform controls but before customer-side mitigations. Residual risk for any specific deployment depends on the maturity of the customer's control implementation.</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Arial" w:cs="Arial" w:eastAsia="Arial" w:hAnsi="Arial"/>
          <w:rtl w:val="0"/>
        </w:rPr>
        <w:t xml:space="preserve">5.1 Data Sovereignty and Residency Risks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2760"/>
        <w:gridCol w:w="900"/>
        <w:gridCol w:w="900"/>
        <w:gridCol w:w="800"/>
        <w:gridCol w:w="2200"/>
        <w:tblGridChange w:id="0">
          <w:tblGrid>
            <w:gridCol w:w="600"/>
            <w:gridCol w:w="1200"/>
            <w:gridCol w:w="2760"/>
            <w:gridCol w:w="900"/>
            <w:gridCol w:w="900"/>
            <w:gridCol w:w="800"/>
            <w:gridCol w:w="220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a1a1a"/>
                <w:sz w:val="20"/>
                <w:szCs w:val="20"/>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a1a1a"/>
                <w:sz w:val="20"/>
                <w:szCs w:val="20"/>
                <w:rtl w:val="0"/>
              </w:rPr>
              <w:t xml:space="preserve">Domain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a1a1a"/>
                <w:sz w:val="20"/>
                <w:szCs w:val="20"/>
                <w:rtl w:val="0"/>
              </w:rPr>
              <w:t xml:space="preserve">Description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a1a1a"/>
                <w:sz w:val="20"/>
                <w:szCs w:val="20"/>
                <w:rtl w:val="0"/>
              </w:rPr>
              <w:t xml:space="preserve">Likely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1a1a"/>
                <w:sz w:val="20"/>
                <w:szCs w:val="20"/>
                <w:rtl w:val="0"/>
              </w:rPr>
              <w:t xml:space="preserve">Impact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a1a1a"/>
                <w:sz w:val="20"/>
                <w:szCs w:val="20"/>
                <w:rtl w:val="0"/>
              </w:rPr>
              <w:t xml:space="preserve">Rating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a1a1a"/>
                <w:sz w:val="20"/>
                <w:szCs w:val="20"/>
                <w:rtl w:val="0"/>
              </w:rPr>
              <w:t xml:space="preserve">Mitigating Controls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a1a1a"/>
                <w:sz w:val="20"/>
                <w:szCs w:val="20"/>
                <w:rtl w:val="0"/>
              </w:rPr>
              <w:t xml:space="preserve">R-01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a1a1a"/>
                <w:sz w:val="20"/>
                <w:szCs w:val="20"/>
                <w:rtl w:val="0"/>
              </w:rPr>
              <w:t xml:space="preserve">Data Residency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0"/>
                <w:szCs w:val="20"/>
                <w:rtl w:val="0"/>
              </w:rPr>
              <w:t xml:space="preserve">Certain Azure services (Entra ID MFA, Databricks, Security Center) process or store limited data outside Australia, creating residual data sovereignty exposure for organizations with strict onshore requirements.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20"/>
                <w:szCs w:val="20"/>
                <w:rtl w:val="0"/>
              </w:rPr>
              <w:t xml:space="preserve">Document all services with cross-border data flows; restrict Databricks usage for sensitive workloads; implement compensating controls per ISM guidance.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1a1a1a"/>
                <w:sz w:val="20"/>
                <w:szCs w:val="20"/>
                <w:rtl w:val="0"/>
              </w:rPr>
              <w:t xml:space="preserve">R-02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a1a1a"/>
                <w:sz w:val="20"/>
                <w:szCs w:val="20"/>
                <w:rtl w:val="0"/>
              </w:rPr>
              <w:t xml:space="preserve">Data Residency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1a"/>
                <w:sz w:val="20"/>
                <w:szCs w:val="20"/>
                <w:rtl w:val="0"/>
              </w:rPr>
              <w:t xml:space="preserve">Global security operations (MSRC) may access pseudonymized or limited customer data across geographic boundaries for threat detection, which may not satisfy classification requirements for PROTECTED data.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a1a1a"/>
                <w:sz w:val="20"/>
                <w:szCs w:val="20"/>
                <w:rtl w:val="0"/>
              </w:rPr>
              <w:t xml:space="preserve">Review Microsoft DPA terms; assess residual risk against ISM and PSPF requirements; consider Australia Central regions with restricted access for sensitive workloads.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a1a1a"/>
                <w:sz w:val="20"/>
                <w:szCs w:val="20"/>
                <w:rtl w:val="0"/>
              </w:rPr>
              <w:t xml:space="preserve">R-03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a1a1a"/>
                <w:sz w:val="20"/>
                <w:szCs w:val="20"/>
                <w:rtl w:val="0"/>
              </w:rPr>
              <w:t xml:space="preserve">Data Residency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20"/>
                <w:szCs w:val="20"/>
                <w:rtl w:val="0"/>
              </w:rPr>
              <w:t xml:space="preserve">Disaster recovery failover configurations, if improperly set, could replicate customer data to non-Australian regions. Default geo-redundant replication stays within geography; the misconfiguration risk lies with the customer.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20"/>
                <w:szCs w:val="20"/>
                <w:rtl w:val="0"/>
              </w:rPr>
              <w:t xml:space="preserve">Enforce Azure Policy to restrict resource deployment to AU regions; validate GRS/ZRS configurations; test DR failover paths.</w:t>
            </w:r>
            <w:r w:rsidDel="00000000" w:rsidR="00000000" w:rsidRPr="00000000">
              <w:rPr>
                <w:rtl w:val="0"/>
              </w:rPr>
            </w:r>
          </w:p>
        </w:tc>
      </w:tr>
    </w:tbl>
    <w:p w:rsidR="00000000" w:rsidDel="00000000" w:rsidP="00000000" w:rsidRDefault="00000000" w:rsidRPr="00000000" w14:paraId="0000006F">
      <w:pPr>
        <w:spacing w:after="30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Fonts w:ascii="Arial" w:cs="Arial" w:eastAsia="Arial" w:hAnsi="Arial"/>
          <w:rtl w:val="0"/>
        </w:rPr>
        <w:t xml:space="preserve">5.2 Regulatory Compliance Risks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2760"/>
        <w:gridCol w:w="900"/>
        <w:gridCol w:w="900"/>
        <w:gridCol w:w="800"/>
        <w:gridCol w:w="2200"/>
        <w:tblGridChange w:id="0">
          <w:tblGrid>
            <w:gridCol w:w="600"/>
            <w:gridCol w:w="1200"/>
            <w:gridCol w:w="2760"/>
            <w:gridCol w:w="900"/>
            <w:gridCol w:w="900"/>
            <w:gridCol w:w="800"/>
            <w:gridCol w:w="220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a1a1a"/>
                <w:sz w:val="20"/>
                <w:szCs w:val="20"/>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1a1a"/>
                <w:sz w:val="20"/>
                <w:szCs w:val="20"/>
                <w:rtl w:val="0"/>
              </w:rPr>
              <w:t xml:space="preserve">Domain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1a1a"/>
                <w:sz w:val="20"/>
                <w:szCs w:val="20"/>
                <w:rtl w:val="0"/>
              </w:rPr>
              <w:t xml:space="preserve">Description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a1a1a"/>
                <w:sz w:val="20"/>
                <w:szCs w:val="20"/>
                <w:rtl w:val="0"/>
              </w:rPr>
              <w:t xml:space="preserve">Likely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a1a1a"/>
                <w:sz w:val="20"/>
                <w:szCs w:val="20"/>
                <w:rtl w:val="0"/>
              </w:rPr>
              <w:t xml:space="preserve">Impact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a1a1a"/>
                <w:sz w:val="20"/>
                <w:szCs w:val="20"/>
                <w:rtl w:val="0"/>
              </w:rPr>
              <w:t xml:space="preserve">Rating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a1a1a"/>
                <w:sz w:val="20"/>
                <w:szCs w:val="20"/>
                <w:rtl w:val="0"/>
              </w:rPr>
              <w:t xml:space="preserve">Mitigating Controls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a1a1a"/>
                <w:sz w:val="20"/>
                <w:szCs w:val="20"/>
                <w:rtl w:val="0"/>
              </w:rPr>
              <w:t xml:space="preserve">R-04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a1a1a"/>
                <w:sz w:val="20"/>
                <w:szCs w:val="20"/>
                <w:rtl w:val="0"/>
              </w:rPr>
              <w:t xml:space="preserve">Privacy 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1a"/>
                <w:sz w:val="20"/>
                <w:szCs w:val="20"/>
                <w:rtl w:val="0"/>
              </w:rPr>
              <w:t xml:space="preserve">The 2024 statutory tort for serious invasions of privacy creates direct litigation exposure from individuals. Cloud misconfigurations resulting in unauthorized disclosure now carry both regulatory and civil liability.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20"/>
                <w:szCs w:val="20"/>
                <w:rtl w:val="0"/>
              </w:rPr>
              <w:t xml:space="preserve">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0"/>
                <w:szCs w:val="20"/>
                <w:rtl w:val="0"/>
              </w:rPr>
              <w:t xml:space="preserve">Implement privacy impact assessments for all Azure workloads processing personal information; enforce least-privilege access; deploy DLP policies.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a1a1a"/>
                <w:sz w:val="20"/>
                <w:szCs w:val="20"/>
                <w:rtl w:val="0"/>
              </w:rPr>
              <w:t xml:space="preserve">R-05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a1a1a"/>
                <w:sz w:val="20"/>
                <w:szCs w:val="20"/>
                <w:rtl w:val="0"/>
              </w:rPr>
              <w:t xml:space="preserve">Privacy 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20"/>
                <w:szCs w:val="20"/>
                <w:rtl w:val="0"/>
              </w:rPr>
              <w:t xml:space="preserve">Automated decision-making transparency requirements (effective Dec 2026) will require disclosure of Azure-hosted AI/ML systems that make decisions with legal effect. Non-compliance exposes organizations to penalty notices.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0"/>
                <w:szCs w:val="20"/>
                <w:rtl w:val="0"/>
              </w:rPr>
              <w:t xml:space="preserve">Inventory all automated decision systems on Azure; prepare disclosure frameworks; update privacy policies before December 2026 effective date.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a1a1a"/>
                <w:sz w:val="20"/>
                <w:szCs w:val="20"/>
                <w:rtl w:val="0"/>
              </w:rPr>
              <w:t xml:space="preserve">R-06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a1a1a"/>
                <w:sz w:val="20"/>
                <w:szCs w:val="20"/>
                <w:rtl w:val="0"/>
              </w:rPr>
              <w:t xml:space="preserve">Privacy 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20"/>
                <w:szCs w:val="20"/>
                <w:rtl w:val="0"/>
              </w:rPr>
              <w:t xml:space="preserve">APP 11 requires reasonable security steps. Azure's shared responsibility model means the customer must implement application-layer encryption, access controls, and monitoring. Platform certification does not satisfy APP 11 for customer workloads.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a1a1a"/>
                <w:sz w:val="20"/>
                <w:szCs w:val="20"/>
                <w:rtl w:val="0"/>
              </w:rPr>
              <w:t xml:space="preserve">Deploy Azure Security Center; implement RBAC with Entra ID; enable encryption at rest (CMK where required); configure NSGs and WAF.</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a1a1a"/>
                <w:sz w:val="20"/>
                <w:szCs w:val="20"/>
                <w:rtl w:val="0"/>
              </w:rPr>
              <w:t xml:space="preserve">R-07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a1a1a"/>
                <w:sz w:val="20"/>
                <w:szCs w:val="20"/>
                <w:rtl w:val="0"/>
              </w:rPr>
              <w:t xml:space="preserve">NDB Scheme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a1a1a"/>
                <w:sz w:val="20"/>
                <w:szCs w:val="20"/>
                <w:rtl w:val="0"/>
              </w:rPr>
              <w:t xml:space="preserve">The Notifiable Data Breaches scheme requires notification within a reasonable timeframe. Azure incident detection depends on customer-configured monitoring. Gaps in Defender for Cloud or Log Analytics coverage delay breach identification.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1a1a"/>
                <w:sz w:val="20"/>
                <w:szCs w:val="20"/>
                <w:rtl w:val="0"/>
              </w:rPr>
              <w:t xml:space="preserve">Enable Microsoft Sentinel or equivalent SIEM; configure alert rules across all subscriptions; maintain breach response runbook with OAIC notification procedures.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a1a1a"/>
                <w:sz w:val="20"/>
                <w:szCs w:val="20"/>
                <w:rtl w:val="0"/>
              </w:rPr>
              <w:t xml:space="preserve">R-08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a1a1a"/>
                <w:sz w:val="20"/>
                <w:szCs w:val="20"/>
                <w:rtl w:val="0"/>
              </w:rPr>
              <w:t xml:space="preserve">SOCI 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1a1a"/>
                <w:sz w:val="20"/>
                <w:szCs w:val="20"/>
                <w:rtl w:val="0"/>
              </w:rPr>
              <w:t xml:space="preserve">For SOCI-regulated entities, Azure-hosted data storage systems are now explicitly part of the critical infrastructure asset under 2024 amendments. CIRMP obligations extend to cloud infrastructure configuration and vendor management.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a1a1a"/>
                <w:sz w:val="20"/>
                <w:szCs w:val="20"/>
                <w:rtl w:val="0"/>
              </w:rPr>
              <w:t xml:space="preserve">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1a"/>
                <w:sz w:val="20"/>
                <w:szCs w:val="20"/>
                <w:rtl w:val="0"/>
              </w:rPr>
              <w:t xml:space="preserve">Include Azure in CIRMP scope; assess supply chain hazards per SOCI requirements; ensure 12-hour incident reporting capability to ACSC.</w:t>
            </w:r>
            <w:r w:rsidDel="00000000" w:rsidR="00000000" w:rsidRPr="00000000">
              <w:rPr>
                <w:rtl w:val="0"/>
              </w:rPr>
            </w:r>
          </w:p>
        </w:tc>
      </w:tr>
    </w:tbl>
    <w:p w:rsidR="00000000" w:rsidDel="00000000" w:rsidP="00000000" w:rsidRDefault="00000000" w:rsidRPr="00000000" w14:paraId="0000009B">
      <w:pPr>
        <w:spacing w:after="300" w:lineRule="auto"/>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Fonts w:ascii="Arial" w:cs="Arial" w:eastAsia="Arial" w:hAnsi="Arial"/>
          <w:rtl w:val="0"/>
        </w:rPr>
        <w:t xml:space="preserve">5.3 Operational Security Risks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2760"/>
        <w:gridCol w:w="900"/>
        <w:gridCol w:w="900"/>
        <w:gridCol w:w="800"/>
        <w:gridCol w:w="2200"/>
        <w:tblGridChange w:id="0">
          <w:tblGrid>
            <w:gridCol w:w="600"/>
            <w:gridCol w:w="1200"/>
            <w:gridCol w:w="2760"/>
            <w:gridCol w:w="900"/>
            <w:gridCol w:w="900"/>
            <w:gridCol w:w="800"/>
            <w:gridCol w:w="220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a1a1a"/>
                <w:sz w:val="20"/>
                <w:szCs w:val="20"/>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a1a1a"/>
                <w:sz w:val="20"/>
                <w:szCs w:val="20"/>
                <w:rtl w:val="0"/>
              </w:rPr>
              <w:t xml:space="preserve">Domain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a1a1a"/>
                <w:sz w:val="20"/>
                <w:szCs w:val="20"/>
                <w:rtl w:val="0"/>
              </w:rPr>
              <w:t xml:space="preserve">Description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a1a1a"/>
                <w:sz w:val="20"/>
                <w:szCs w:val="20"/>
                <w:rtl w:val="0"/>
              </w:rPr>
              <w:t xml:space="preserve">Likely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a1a1a"/>
                <w:sz w:val="20"/>
                <w:szCs w:val="20"/>
                <w:rtl w:val="0"/>
              </w:rPr>
              <w:t xml:space="preserve">Impact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a1a1a"/>
                <w:sz w:val="20"/>
                <w:szCs w:val="20"/>
                <w:rtl w:val="0"/>
              </w:rPr>
              <w:t xml:space="preserve">Rating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a1a1a"/>
                <w:sz w:val="20"/>
                <w:szCs w:val="20"/>
                <w:rtl w:val="0"/>
              </w:rPr>
              <w:t xml:space="preserve">Mitigating Controls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a1a1a"/>
                <w:sz w:val="20"/>
                <w:szCs w:val="20"/>
                <w:rtl w:val="0"/>
              </w:rPr>
              <w:t xml:space="preserve">R-09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a1a1a"/>
                <w:sz w:val="20"/>
                <w:szCs w:val="20"/>
                <w:rtl w:val="0"/>
              </w:rPr>
              <w:t xml:space="preserve">IAM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a1a1a"/>
                <w:sz w:val="20"/>
                <w:szCs w:val="20"/>
                <w:rtl w:val="0"/>
              </w:rPr>
              <w:t xml:space="preserve">Azure Entra ID misconfiguration (excessive permissions, missing MFA, stale service principals) represents the most common attack vector. Microsoft certifies the platform; customer configures access.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1a1a1a"/>
                <w:sz w:val="20"/>
                <w:szCs w:val="20"/>
                <w:rtl w:val="0"/>
              </w:rPr>
              <w:t xml:space="preserve">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1a1a1a"/>
                <w:sz w:val="20"/>
                <w:szCs w:val="20"/>
                <w:rtl w:val="0"/>
              </w:rPr>
              <w:t xml:space="preserve">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a1a1a"/>
                <w:sz w:val="20"/>
                <w:szCs w:val="20"/>
                <w:rtl w:val="0"/>
              </w:rPr>
              <w:t xml:space="preserve">Enforce conditional access policies; require MFA for all users; implement PIM for privileged roles; conduct quarterly access reviews.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a1a1a"/>
                <w:sz w:val="20"/>
                <w:szCs w:val="20"/>
                <w:rtl w:val="0"/>
              </w:rPr>
              <w:t xml:space="preserve">R-10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a1a1a"/>
                <w:sz w:val="20"/>
                <w:szCs w:val="20"/>
                <w:rtl w:val="0"/>
              </w:rPr>
              <w:t xml:space="preserve">Encryption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0"/>
                <w:szCs w:val="20"/>
                <w:rtl w:val="0"/>
              </w:rPr>
              <w:t xml:space="preserve">Customer-managed key (CMK) implementations add sovereignty control and introduce key management complexity in the process. Key Vault misconfiguration or key loss results in data unavailability.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20"/>
                <w:szCs w:val="20"/>
                <w:rtl w:val="0"/>
              </w:rPr>
              <w:t xml:space="preserve">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20"/>
                <w:szCs w:val="20"/>
                <w:rtl w:val="0"/>
              </w:rPr>
              <w:t xml:space="preserve">Implement Key Vault with soft-delete and purge protection; establish key rotation procedures; maintain offline key backup for DR.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a1a1a"/>
                <w:sz w:val="20"/>
                <w:szCs w:val="20"/>
                <w:rtl w:val="0"/>
              </w:rPr>
              <w:t xml:space="preserve">R-11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a1a1a"/>
                <w:sz w:val="20"/>
                <w:szCs w:val="20"/>
                <w:rtl w:val="0"/>
              </w:rPr>
              <w:t xml:space="preserve">Monitoring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a1a1a"/>
                <w:sz w:val="20"/>
                <w:szCs w:val="20"/>
                <w:rtl w:val="0"/>
              </w:rPr>
              <w:t xml:space="preserve">Azure's ISO 27001 compliance initiatives in Azure Policy (now at version 1.2 for 2022 edition) contain 63 policy definitions, significantly fewer than the 452 in the 2013 version. Gaps may exist in automated compliance coverage during transition.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1a1a1a"/>
                <w:sz w:val="20"/>
                <w:szCs w:val="20"/>
                <w:rtl w:val="0"/>
              </w:rPr>
              <w:t xml:space="preserve">Supplement Azure Policy with custom policies; deploy Defender for Cloud regulatory compliance dashboard; conduct manual control assessments for gaps.</w:t>
            </w:r>
            <w:r w:rsidDel="00000000" w:rsidR="00000000" w:rsidRPr="00000000">
              <w:rPr>
                <w:rtl w:val="0"/>
              </w:rPr>
            </w:r>
          </w:p>
        </w:tc>
      </w:tr>
    </w:tbl>
    <w:p w:rsidR="00000000" w:rsidDel="00000000" w:rsidP="00000000" w:rsidRDefault="00000000" w:rsidRPr="00000000" w14:paraId="000000B9">
      <w:pPr>
        <w:spacing w:after="300" w:lineRule="auto"/>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Arial" w:cs="Arial" w:eastAsia="Arial" w:hAnsi="Arial"/>
          <w:rtl w:val="0"/>
        </w:rPr>
        <w:t xml:space="preserve">5.4 Third-Party and Supply Chain Risks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2760"/>
        <w:gridCol w:w="900"/>
        <w:gridCol w:w="900"/>
        <w:gridCol w:w="800"/>
        <w:gridCol w:w="2200"/>
        <w:tblGridChange w:id="0">
          <w:tblGrid>
            <w:gridCol w:w="600"/>
            <w:gridCol w:w="1200"/>
            <w:gridCol w:w="2760"/>
            <w:gridCol w:w="900"/>
            <w:gridCol w:w="900"/>
            <w:gridCol w:w="800"/>
            <w:gridCol w:w="220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a1a1a"/>
                <w:sz w:val="20"/>
                <w:szCs w:val="20"/>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a1a1a"/>
                <w:sz w:val="20"/>
                <w:szCs w:val="20"/>
                <w:rtl w:val="0"/>
              </w:rPr>
              <w:t xml:space="preserve">Domain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a1a1a"/>
                <w:sz w:val="20"/>
                <w:szCs w:val="20"/>
                <w:rtl w:val="0"/>
              </w:rPr>
              <w:t xml:space="preserve">Description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1a1a"/>
                <w:sz w:val="20"/>
                <w:szCs w:val="20"/>
                <w:rtl w:val="0"/>
              </w:rPr>
              <w:t xml:space="preserve">Likely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1a1a"/>
                <w:sz w:val="20"/>
                <w:szCs w:val="20"/>
                <w:rtl w:val="0"/>
              </w:rPr>
              <w:t xml:space="preserve">Impact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a1a1a"/>
                <w:sz w:val="20"/>
                <w:szCs w:val="20"/>
                <w:rtl w:val="0"/>
              </w:rPr>
              <w:t xml:space="preserve">Rating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a1a1a"/>
                <w:sz w:val="20"/>
                <w:szCs w:val="20"/>
                <w:rtl w:val="0"/>
              </w:rPr>
              <w:t xml:space="preserve">Mitigating Controls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a1a1a"/>
                <w:sz w:val="20"/>
                <w:szCs w:val="20"/>
                <w:rtl w:val="0"/>
              </w:rPr>
              <w:t xml:space="preserve">R-12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a1a1a"/>
                <w:sz w:val="20"/>
                <w:szCs w:val="20"/>
                <w:rtl w:val="0"/>
              </w:rPr>
              <w:t xml:space="preserve">Supply Chain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20"/>
                <w:szCs w:val="20"/>
                <w:rtl w:val="0"/>
              </w:rPr>
              <w:t xml:space="preserve">Microsoft's global supply chain for datacenter hardware, software dependencies, and subprocessor relationships introduces concentration risk. A significant Microsoft security incident affecting Azure globally would impact Australian operations.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20"/>
                <w:szCs w:val="20"/>
                <w:rtl w:val="0"/>
              </w:rPr>
              <w:t xml:space="preserve">Critical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1a1a1a"/>
                <w:sz w:val="20"/>
                <w:szCs w:val="20"/>
                <w:rtl w:val="0"/>
              </w:rPr>
              <w:t xml:space="preserve">Medium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a1a1a"/>
                <w:sz w:val="20"/>
                <w:szCs w:val="20"/>
                <w:rtl w:val="0"/>
              </w:rPr>
              <w:t xml:space="preserve">Maintain exit strategy documentation; evaluate multi-cloud DR for critical workloads; monitor Microsoft security advisories; review subprocessor lists quarterly.</w:t>
            </w:r>
            <w:r w:rsidDel="00000000" w:rsidR="00000000" w:rsidRPr="00000000">
              <w:rPr>
                <w:rtl w:val="0"/>
              </w:rPr>
            </w:r>
          </w:p>
        </w:tc>
      </w:tr>
    </w:tbl>
    <w:p w:rsidR="00000000" w:rsidDel="00000000" w:rsidP="00000000" w:rsidRDefault="00000000" w:rsidRPr="00000000" w14:paraId="000000C9">
      <w:pPr>
        <w:pStyle w:val="Heading1"/>
        <w:rPr/>
      </w:pPr>
      <w:r w:rsidDel="00000000" w:rsidR="00000000" w:rsidRPr="00000000">
        <w:rPr>
          <w:rFonts w:ascii="Arial" w:cs="Arial" w:eastAsia="Arial" w:hAnsi="Arial"/>
          <w:rtl w:val="0"/>
        </w:rPr>
        <w:t xml:space="preserve">6. ISO 27001:2022 Gap Analysis: Shared Controls</w:t>
      </w: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rFonts w:ascii="Arial" w:cs="Arial" w:eastAsia="Arial" w:hAnsi="Arial"/>
          <w:color w:val="1a1a1a"/>
          <w:sz w:val="22"/>
          <w:szCs w:val="22"/>
          <w:rtl w:val="0"/>
        </w:rPr>
        <w:t xml:space="preserve">Microsoft's ISO 27001:2022 certification addresses the platform layer. Several Annex A control areas require explicit customer implementation when operating on Azure Australia. The 2022 revision introduced Control A 5.23 (Information Security for Use of Cloud Services), which formalizes what practitioners already understood: cloud adoption requires documented policies for service acquisition, use, management, and exit.</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Fonts w:ascii="Arial" w:cs="Arial" w:eastAsia="Arial" w:hAnsi="Arial"/>
          <w:rtl w:val="0"/>
        </w:rPr>
        <w:t xml:space="preserve">6.1 Customer-Responsible Controls Requiring Attention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380"/>
        <w:gridCol w:w="4380"/>
        <w:tblGridChange w:id="0">
          <w:tblGrid>
            <w:gridCol w:w="1600"/>
            <w:gridCol w:w="3380"/>
            <w:gridCol w:w="43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a1a1a"/>
                <w:sz w:val="20"/>
                <w:szCs w:val="20"/>
                <w:rtl w:val="0"/>
              </w:rPr>
              <w:t xml:space="preserve">Control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a1a1a"/>
                <w:sz w:val="20"/>
                <w:szCs w:val="20"/>
                <w:rtl w:val="0"/>
              </w:rPr>
              <w:t xml:space="preserve">Requirement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0f0f0"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a1a1a"/>
                <w:sz w:val="20"/>
                <w:szCs w:val="20"/>
                <w:rtl w:val="0"/>
              </w:rPr>
              <w:t xml:space="preserve">Azure Implementation Considerations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a1a1a"/>
                <w:sz w:val="20"/>
                <w:szCs w:val="20"/>
                <w:rtl w:val="0"/>
              </w:rPr>
              <w:t xml:space="preserve">A 5.23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a1a1a"/>
                <w:sz w:val="20"/>
                <w:szCs w:val="20"/>
                <w:rtl w:val="0"/>
              </w:rPr>
              <w:t xml:space="preserve">Cloud services: policies for acquisition, use, management, and exit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1a1a1a"/>
                <w:sz w:val="20"/>
                <w:szCs w:val="20"/>
                <w:rtl w:val="0"/>
              </w:rPr>
              <w:t xml:space="preserve">Document cloud usage policy covering Azure service selection criteria, data classification for cloud storage, exit/migration strategy, and subprocessor monitoring.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a1a1a"/>
                <w:sz w:val="20"/>
                <w:szCs w:val="20"/>
                <w:rtl w:val="0"/>
              </w:rPr>
              <w:t xml:space="preserve">A 5.31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a1a1a"/>
                <w:sz w:val="20"/>
                <w:szCs w:val="20"/>
                <w:rtl w:val="0"/>
              </w:rPr>
              <w:t xml:space="preserve">Legal, statutory, regulatory, and contractual requirements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a1a1a"/>
                <w:sz w:val="20"/>
                <w:szCs w:val="20"/>
                <w:rtl w:val="0"/>
              </w:rPr>
              <w:t xml:space="preserve">Map Privacy Act APPs, NDB scheme, and SOCI obligations against Azure configurations. Document compliance evidence chain from Azure Policy through to OAIC reporting.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1a1a1a"/>
                <w:sz w:val="20"/>
                <w:szCs w:val="20"/>
                <w:rtl w:val="0"/>
              </w:rPr>
              <w:t xml:space="preserve">A 5.34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a1a1a"/>
                <w:sz w:val="20"/>
                <w:szCs w:val="20"/>
                <w:rtl w:val="0"/>
              </w:rPr>
              <w:t xml:space="preserve">Privacy and protection of PII</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a1a1a"/>
                <w:sz w:val="20"/>
                <w:szCs w:val="20"/>
                <w:rtl w:val="0"/>
              </w:rPr>
              <w:t xml:space="preserve">Implement data classification in Microsoft Purview; configure sensitivity labels; deploy DLP policies aligned with APP collection and use limitations.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a1a1a"/>
                <w:sz w:val="20"/>
                <w:szCs w:val="20"/>
                <w:rtl w:val="0"/>
              </w:rPr>
              <w:t xml:space="preserve">A 8.10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20"/>
                <w:szCs w:val="20"/>
                <w:rtl w:val="0"/>
              </w:rPr>
              <w:t xml:space="preserve">Information deletion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1a1a1a"/>
                <w:sz w:val="20"/>
                <w:szCs w:val="20"/>
                <w:rtl w:val="0"/>
              </w:rPr>
              <w:t xml:space="preserve">Configure Azure data retention policies; implement soft-delete with defined purge schedules; document data lifecycle for each workload.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1a1a1a"/>
                <w:sz w:val="20"/>
                <w:szCs w:val="20"/>
                <w:rtl w:val="0"/>
              </w:rPr>
              <w:t xml:space="preserve">A 8.11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20"/>
                <w:szCs w:val="20"/>
                <w:rtl w:val="0"/>
              </w:rPr>
              <w:t xml:space="preserve">Data masking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20"/>
                <w:szCs w:val="20"/>
                <w:rtl w:val="0"/>
              </w:rPr>
              <w:t xml:space="preserve">Deploy Azure SQL Dynamic Data Masking or application-layer masking for PII in non-production environments. Relevant for APP 11 security obligations.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a1a1a"/>
                <w:sz w:val="20"/>
                <w:szCs w:val="20"/>
                <w:rtl w:val="0"/>
              </w:rPr>
              <w:t xml:space="preserve">A 8.12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1a"/>
                <w:sz w:val="20"/>
                <w:szCs w:val="20"/>
                <w:rtl w:val="0"/>
              </w:rPr>
              <w:t xml:space="preserve">Data leakage prevention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1a"/>
                <w:sz w:val="20"/>
                <w:szCs w:val="20"/>
                <w:rtl w:val="0"/>
              </w:rPr>
              <w:t xml:space="preserve">Enable Microsoft Purview DLP across Exchange, SharePoint, Teams, and endpoint. Configure custom sensitive information types for Australian identifiers (TFN, Medicare, ABN).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1a1a1a"/>
                <w:sz w:val="20"/>
                <w:szCs w:val="20"/>
                <w:rtl w:val="0"/>
              </w:rPr>
              <w:t xml:space="preserve">A 8.25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a1a1a"/>
                <w:sz w:val="20"/>
                <w:szCs w:val="20"/>
                <w:rtl w:val="0"/>
              </w:rPr>
              <w:t xml:space="preserve">Secure development lifecycle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a1a1a"/>
                <w:sz w:val="20"/>
                <w:szCs w:val="20"/>
                <w:rtl w:val="0"/>
              </w:rPr>
              <w:t xml:space="preserve">Integrate Azure DevOps with security scanning (Defender for DevOps, GitHub Advanced Security); enforce pipeline gates for SAST/DAST before deployment to AU regions.</w:t>
            </w:r>
            <w:r w:rsidDel="00000000" w:rsidR="00000000" w:rsidRPr="00000000">
              <w:rPr>
                <w:rtl w:val="0"/>
              </w:rPr>
            </w:r>
          </w:p>
        </w:tc>
      </w:tr>
    </w:tbl>
    <w:p w:rsidR="00000000" w:rsidDel="00000000" w:rsidP="00000000" w:rsidRDefault="00000000" w:rsidRPr="00000000" w14:paraId="000000E4">
      <w:pPr>
        <w:pStyle w:val="Heading1"/>
        <w:rPr/>
      </w:pPr>
      <w:r w:rsidDel="00000000" w:rsidR="00000000" w:rsidRPr="00000000">
        <w:rPr>
          <w:rFonts w:ascii="Arial" w:cs="Arial" w:eastAsia="Arial" w:hAnsi="Arial"/>
          <w:rtl w:val="0"/>
        </w:rPr>
        <w:t xml:space="preserve">7. Risk Summary</w:t>
      </w:r>
      <w:r w:rsidDel="00000000" w:rsidR="00000000" w:rsidRPr="00000000">
        <w:rPr>
          <w:rtl w:val="0"/>
        </w:rPr>
      </w:r>
    </w:p>
    <w:p w:rsidR="00000000" w:rsidDel="00000000" w:rsidP="00000000" w:rsidRDefault="00000000" w:rsidRPr="00000000" w14:paraId="000000E5">
      <w:pPr>
        <w:spacing w:after="200" w:lineRule="auto"/>
        <w:rPr/>
      </w:pPr>
      <w:r w:rsidDel="00000000" w:rsidR="00000000" w:rsidRPr="00000000">
        <w:rPr>
          <w:rFonts w:ascii="Arial" w:cs="Arial" w:eastAsia="Arial" w:hAnsi="Arial"/>
          <w:color w:val="1a1a1a"/>
          <w:sz w:val="22"/>
          <w:szCs w:val="22"/>
          <w:rtl w:val="0"/>
        </w:rPr>
        <w:t xml:space="preserve">Across the 12 identified risks, the distribution is: 1 Critical (8%), 4 High (33%), 7 Medium (58%), and 0 Low.</w:t>
      </w:r>
      <w:r w:rsidDel="00000000" w:rsidR="00000000" w:rsidRPr="00000000">
        <w:rPr>
          <w:rtl w:val="0"/>
        </w:rPr>
      </w:r>
    </w:p>
    <w:p w:rsidR="00000000" w:rsidDel="00000000" w:rsidP="00000000" w:rsidRDefault="00000000" w:rsidRPr="00000000" w14:paraId="000000E6">
      <w:pPr>
        <w:spacing w:after="200" w:lineRule="auto"/>
        <w:rPr/>
      </w:pPr>
      <w:r w:rsidDel="00000000" w:rsidR="00000000" w:rsidRPr="00000000">
        <w:rPr>
          <w:rFonts w:ascii="Arial" w:cs="Arial" w:eastAsia="Arial" w:hAnsi="Arial"/>
          <w:color w:val="1a1a1a"/>
          <w:sz w:val="22"/>
          <w:szCs w:val="22"/>
          <w:rtl w:val="0"/>
        </w:rPr>
        <w:t xml:space="preserve">The single Critical-rated risk (R-09, IAM misconfiguration) reflects the reality that identity and access management is the primary attack vector in cloud environments and falls entirely within customer responsibility. The four High-rated risks cluster around regulatory compliance gaps that require affirmative customer action: the intersection of the Privacy Act's APP 11 security obligations with shared responsibility (R-06), NDB scheme detection capabilities (R-07), SOCI Act CIRMP coverage of cloud infrastructure (R-08), and the 2024 statutory tort exposure (R-04).</w:t>
      </w: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Fonts w:ascii="Arial" w:cs="Arial" w:eastAsia="Arial" w:hAnsi="Arial"/>
          <w:color w:val="1a1a1a"/>
          <w:sz w:val="22"/>
          <w:szCs w:val="22"/>
          <w:rtl w:val="0"/>
        </w:rPr>
        <w:t xml:space="preserve">Notably, no risks rate as Low. Azure Australia's compliance foundation is strong. The regulatory environment has tightened faster than most organizations' cloud governance maturity has kept pace. The medium-rated risks are manageable with disciplined implementation of the mitigating controls identified in Section 5, and they require deliberate effort and ongoing investment.</w:t>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Fonts w:ascii="Arial" w:cs="Arial" w:eastAsia="Arial" w:hAnsi="Arial"/>
          <w:rtl w:val="0"/>
        </w:rPr>
        <w:t xml:space="preserve">8. Recommendations</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Fonts w:ascii="Arial" w:cs="Arial" w:eastAsia="Arial" w:hAnsi="Arial"/>
          <w:rtl w:val="0"/>
        </w:rPr>
        <w:t xml:space="preserve">8.1 Immediate (0-90 Days)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Deploy Azure Policy ISO 27001:2022 initiative across all Australian subscriptions and establish baseline compliance scores in Defender for Cloud.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Enforce conditional access policies requiring MFA for all users and implementing Privileged Identity Management for administrative roles.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Document all Azure services in use with cross-border data flows; map these against APP 8 disclosure requirements and data classification policy.</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Enable Microsoft Sentinel or comparable SIEM with alert rules covering all Australian subscriptions; validate breach detection capability against NDB reporting timelines.</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Fonts w:ascii="Arial" w:cs="Arial" w:eastAsia="Arial" w:hAnsi="Arial"/>
          <w:rtl w:val="0"/>
        </w:rPr>
        <w:t xml:space="preserve">8.2 Short-Term (90-180 Days)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Conduct privacy impact assessments for all Azure-hosted workloads processing personal information, aligned with the new statutory tort risk profile.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SOCI-regulated entities: expand CIRMP scope to include Azure infrastructure, conduct supply chain risk assessment of Microsoft as a critical vendor, and validate 12-hour ACSC incident reporting capability.</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Deploy Microsoft Purview DLP with custom sensitive information types for Australian identifiers (TFN, Medicare numbers, ABN) across all workloads.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 Azure Policy resource location restrictions to prevent accidental deployment outside Australian regions.</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Fonts w:ascii="Arial" w:cs="Arial" w:eastAsia="Arial" w:hAnsi="Arial"/>
          <w:rtl w:val="0"/>
        </w:rPr>
        <w:t xml:space="preserve">8.3 Medium-Term (180-365 Days)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Prepare automated decision-making disclosure framework for Azure-hosted AI/ML systems ahead of the December 2026 transparency requirement.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 and test cloud exit strategy, including data extraction procedures, format specifications, and target platform evaluation.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Establish continuous compliance monitoring program with quarterly control assessment cycles aligned to ISO 27001 internal audit requirements.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Evaluate customer-managed keys for workloads processing PROTECTED or equivalently classified data, with documented key management procedures.</w:t>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Fonts w:ascii="Arial" w:cs="Arial" w:eastAsia="Arial" w:hAnsi="Arial"/>
          <w:rtl w:val="0"/>
        </w:rPr>
        <w:t xml:space="preserve">9. Conclusion</w:t>
      </w:r>
      <w:r w:rsidDel="00000000" w:rsidR="00000000" w:rsidRPr="00000000">
        <w:rPr>
          <w:rtl w:val="0"/>
        </w:rPr>
      </w:r>
    </w:p>
    <w:p w:rsidR="00000000" w:rsidDel="00000000" w:rsidP="00000000" w:rsidRDefault="00000000" w:rsidRPr="00000000" w14:paraId="000000F9">
      <w:pPr>
        <w:spacing w:after="200" w:lineRule="auto"/>
        <w:rPr/>
      </w:pPr>
      <w:r w:rsidDel="00000000" w:rsidR="00000000" w:rsidRPr="00000000">
        <w:rPr>
          <w:rFonts w:ascii="Arial" w:cs="Arial" w:eastAsia="Arial" w:hAnsi="Arial"/>
          <w:color w:val="1a1a1a"/>
          <w:sz w:val="22"/>
          <w:szCs w:val="22"/>
          <w:rtl w:val="0"/>
        </w:rPr>
        <w:t xml:space="preserve">Azure Australia provides a solid compliance foundation for organizations operating under Australian privacy and security law. Microsoft's investment in ISO 27001:2022 certification, IRAP PROTECTED assessment across 113 services, and the availability of four Australian datacenter regions positions the platform well for workloads up to and including PROTECTED classification, subject to agency-level authorization.</w:t>
      </w:r>
      <w:r w:rsidDel="00000000" w:rsidR="00000000" w:rsidRPr="00000000">
        <w:rPr>
          <w:rtl w:val="0"/>
        </w:rPr>
      </w:r>
    </w:p>
    <w:p w:rsidR="00000000" w:rsidDel="00000000" w:rsidP="00000000" w:rsidRDefault="00000000" w:rsidRPr="00000000" w14:paraId="000000FA">
      <w:pPr>
        <w:spacing w:after="200" w:lineRule="auto"/>
        <w:rPr/>
      </w:pPr>
      <w:r w:rsidDel="00000000" w:rsidR="00000000" w:rsidRPr="00000000">
        <w:rPr>
          <w:rFonts w:ascii="Arial" w:cs="Arial" w:eastAsia="Arial" w:hAnsi="Arial"/>
          <w:color w:val="1a1a1a"/>
          <w:sz w:val="22"/>
          <w:szCs w:val="22"/>
          <w:rtl w:val="0"/>
        </w:rPr>
        <w:t xml:space="preserve">The material risk exposure does not sit with Azure's platform controls. It sits in the space between what Microsoft certifies and what the customer actually implements. Identity misconfiguration, monitoring gaps, incomplete data residency mapping, and failure to extend CIRMP coverage to cloud infrastructure represent the highest-impact risk areas identified in this assessment. Every one of these is addressable through deliberate governance and engineering work. None of them resolve themselves through the act of choosing a certified cloud provider.</w:t>
      </w:r>
      <w:r w:rsidDel="00000000" w:rsidR="00000000" w:rsidRPr="00000000">
        <w:rPr>
          <w:rtl w:val="0"/>
        </w:rPr>
      </w:r>
    </w:p>
    <w:p w:rsidR="00000000" w:rsidDel="00000000" w:rsidP="00000000" w:rsidRDefault="00000000" w:rsidRPr="00000000" w14:paraId="000000FB">
      <w:pPr>
        <w:spacing w:after="2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a1a1a"/>
          <w:sz w:val="22"/>
          <w:szCs w:val="22"/>
          <w:rtl w:val="0"/>
        </w:rPr>
        <w:t xml:space="preserve">The 2024 amendments to the Privacy Act and SOCI Act have raised the stakes. Individual litigation rights, expanded penalty frameworks, and explicit coverage of cloud-hosted data storage systems in the critical infrastructure regime create new categories of compliance exposure that did not exist two years ago. Organizations deploying on Azure Australia should treat this risk assessment as a starting point for a structured remediation program, prioritized by the risk ratings and recommended timelines in Sections 5 through 8.</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jc w:val="center"/>
      <w:rPr/>
    </w:pP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tabs>
        <w:tab w:val="right" w:leader="none" w:pos="9360"/>
      </w:tabs>
      <w:rPr/>
    </w:pPr>
    <w:r w:rsidDel="00000000" w:rsidR="00000000" w:rsidRPr="00000000">
      <w:rPr>
        <w:rFonts w:ascii="Arial" w:cs="Arial" w:eastAsia="Arial" w:hAnsi="Arial"/>
        <w:i w:val="1"/>
        <w:iCs w:val="1"/>
        <w:color w:val="999999"/>
        <w:sz w:val="16"/>
        <w:szCs w:val="16"/>
        <w:rtl w:val="0"/>
      </w:rPr>
      <w:t xml:space="preserve">Azure Australia Risk Assessment</w:t>
    </w:r>
    <w:r w:rsidDel="00000000" w:rsidR="00000000" w:rsidRPr="00000000">
      <w:rPr>
        <w:rFonts w:ascii="Arial" w:cs="Arial" w:eastAsia="Arial" w:hAnsi="Arial"/>
        <w:color w:val="999999"/>
        <w:sz w:val="16"/>
        <w:szCs w:val="16"/>
        <w:rtl w:val="0"/>
      </w:rPr>
      <w:t xml:space="preserve">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5555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gxEVlo9IEw8DzFggICq4az2Gg==">CgMxLjA4AHIhMWVBb0JaTTRJbjRUN0tiSjVhX3RMTGVGdF9XMUp6Z2Vk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2026-03-12T15:26:35.028Z</dcterms:created>
  <dc:creator>Un-named</dc:creator>
</cp:coreProperties>
</file>

<file path=docProps/custom.xml><?xml version="1.0" encoding="utf-8"?>
<Properties xmlns="http://schemas.openxmlformats.org/officeDocument/2006/custom-properties" xmlns:vt="http://schemas.openxmlformats.org/officeDocument/2006/docPropsVTypes"/>
</file>