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1"/>
          <w:bCs w:val="1"/>
          <w:sz w:val="32"/>
          <w:szCs w:val="32"/>
          <w:rtl w:val="0"/>
        </w:rPr>
        <w:t xml:space="preserve">Risk Assessment: Executive Summary</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Arial" w:cs="Arial" w:eastAsia="Arial" w:hAnsi="Arial"/>
          <w:sz w:val="24"/>
          <w:szCs w:val="24"/>
          <w:rtl w:val="0"/>
        </w:rPr>
        <w:t xml:space="preserve">Microsoft Azure Australia</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Fonts w:ascii="Arial" w:cs="Arial" w:eastAsia="Arial" w:hAnsi="Arial"/>
          <w:sz w:val="18"/>
          <w:szCs w:val="18"/>
          <w:rtl w:val="0"/>
        </w:rPr>
        <w:t xml:space="preserve">ISO 27001:2022  |  March 2026</w:t>
      </w:r>
      <w:r w:rsidDel="00000000" w:rsidR="00000000" w:rsidRPr="00000000">
        <w:rPr>
          <w:rtl w:val="0"/>
        </w:rPr>
      </w:r>
    </w:p>
    <w:p w:rsidR="00000000" w:rsidDel="00000000" w:rsidP="00000000" w:rsidRDefault="00000000" w:rsidRPr="00000000" w14:paraId="00000004">
      <w:pPr>
        <w:pStyle w:val="Heading1"/>
        <w:rPr>
          <w:color w:val="000000"/>
        </w:rPr>
      </w:pPr>
      <w:r w:rsidDel="00000000" w:rsidR="00000000" w:rsidRPr="00000000">
        <w:rPr>
          <w:rFonts w:ascii="Arial" w:cs="Arial" w:eastAsia="Arial" w:hAnsi="Arial"/>
          <w:color w:val="000000"/>
          <w:rtl w:val="0"/>
        </w:rPr>
        <w:t xml:space="preserve">Overview</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Fonts w:ascii="Arial" w:cs="Arial" w:eastAsia="Arial" w:hAnsi="Arial"/>
          <w:sz w:val="21"/>
          <w:szCs w:val="21"/>
          <w:rtl w:val="0"/>
        </w:rPr>
        <w:t xml:space="preserve">This assessment evaluates Microsoft Azure's Australian cloud regions from a security, privacy, and governance perspective. Azure Australia offers a mature compliance foundation: ISO/IEC 27001:2022 certification (valid through June 2026), IRAP PROTECTED assessment covering 113 services across four Australian datacenter regions, and a comprehensive certification stack including SOC 1/2/3, ISO 27017/27018/27701, and CSA STAR Gold.</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Arial" w:cs="Arial" w:eastAsia="Arial" w:hAnsi="Arial"/>
          <w:sz w:val="21"/>
          <w:szCs w:val="21"/>
          <w:rtl w:val="0"/>
        </w:rPr>
        <w:t xml:space="preserve">The Australian regulatory landscape shifted materially in late 2024 with the passage of the Privacy and Other Legislation Amendment Act 2024, introducing a statutory tort for serious privacy invasions, tiered civil penalties (up to AUD 50 million or 30% of turnover), and automated decision-making transparency requirements effective December 2026. The SOCI Act's 2024 amendments now explicitly cover cloud-hosted data storage systems as part of critical infrastructure assets.</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Fonts w:ascii="Arial" w:cs="Arial" w:eastAsia="Arial" w:hAnsi="Arial"/>
          <w:b w:val="1"/>
          <w:bCs w:val="1"/>
          <w:sz w:val="21"/>
          <w:szCs w:val="21"/>
          <w:rtl w:val="0"/>
        </w:rPr>
        <w:t xml:space="preserve">Core finding: </w:t>
      </w:r>
      <w:r w:rsidDel="00000000" w:rsidR="00000000" w:rsidRPr="00000000">
        <w:rPr>
          <w:rFonts w:ascii="Arial" w:cs="Arial" w:eastAsia="Arial" w:hAnsi="Arial"/>
          <w:sz w:val="21"/>
          <w:szCs w:val="21"/>
          <w:rtl w:val="0"/>
        </w:rPr>
        <w:t xml:space="preserve">Azure's platform controls are well-certified. The material risk exposure sits in the gap between what Microsoft certifies and what customers actually implement. The shared responsibility model places identity management, data classification, encryption key decisions, network security, and compliance monitoring squarely on the customer side.</w:t>
      </w:r>
      <w:r w:rsidDel="00000000" w:rsidR="00000000" w:rsidRPr="00000000">
        <w:rPr>
          <w:rtl w:val="0"/>
        </w:rPr>
      </w:r>
    </w:p>
    <w:p w:rsidR="00000000" w:rsidDel="00000000" w:rsidP="00000000" w:rsidRDefault="00000000" w:rsidRPr="00000000" w14:paraId="00000008">
      <w:pPr>
        <w:pStyle w:val="Heading1"/>
        <w:rPr>
          <w:color w:val="000000"/>
        </w:rPr>
      </w:pPr>
      <w:r w:rsidDel="00000000" w:rsidR="00000000" w:rsidRPr="00000000">
        <w:rPr>
          <w:rFonts w:ascii="Arial" w:cs="Arial" w:eastAsia="Arial" w:hAnsi="Arial"/>
          <w:color w:val="000000"/>
          <w:rtl w:val="0"/>
        </w:rPr>
        <w:t xml:space="preserve">Risk Distribution</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Arial" w:cs="Arial" w:eastAsia="Arial" w:hAnsi="Arial"/>
          <w:sz w:val="21"/>
          <w:szCs w:val="21"/>
          <w:rtl w:val="0"/>
        </w:rPr>
        <w:t xml:space="preserve">Twelve risks identified across four domains: data sovereignty (3), regulatory compliance (5), operational security (3), and supply chain (1). Distribution: 1 Critical, 4 High, 7 Medium, 0 Low. No risks rated Low, reflecting the tightened Australian regulatory environment.</w:t>
      </w:r>
      <w:r w:rsidDel="00000000" w:rsidR="00000000" w:rsidRPr="00000000">
        <w:rPr>
          <w:rtl w:val="0"/>
        </w:rPr>
      </w:r>
    </w:p>
    <w:p w:rsidR="00000000" w:rsidDel="00000000" w:rsidP="00000000" w:rsidRDefault="00000000" w:rsidRPr="00000000" w14:paraId="0000000A">
      <w:pPr>
        <w:pStyle w:val="Heading1"/>
        <w:rPr>
          <w:color w:val="000000"/>
        </w:rPr>
      </w:pPr>
      <w:r w:rsidDel="00000000" w:rsidR="00000000" w:rsidRPr="00000000">
        <w:rPr>
          <w:rFonts w:ascii="Arial" w:cs="Arial" w:eastAsia="Arial" w:hAnsi="Arial"/>
          <w:color w:val="000000"/>
          <w:rtl w:val="0"/>
        </w:rPr>
        <w:t xml:space="preserve">Consolidated Risk Register</w:t>
      </w:r>
      <w:r w:rsidDel="00000000" w:rsidR="00000000" w:rsidRPr="00000000">
        <w:rPr>
          <w:rtl w:val="0"/>
        </w:rPr>
      </w:r>
    </w:p>
    <w:tbl>
      <w:tblPr>
        <w:tblStyle w:val="Table1"/>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4185"/>
        <w:gridCol w:w="900"/>
        <w:gridCol w:w="3900"/>
        <w:tblGridChange w:id="0">
          <w:tblGrid>
            <w:gridCol w:w="855"/>
            <w:gridCol w:w="4185"/>
            <w:gridCol w:w="900"/>
            <w:gridCol w:w="390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0f0" w:val="clea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18"/>
                <w:szCs w:val="18"/>
                <w:rtl w:val="0"/>
              </w:rPr>
              <w:t xml:space="preserve">Risk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18"/>
                <w:szCs w:val="18"/>
                <w:rtl w:val="0"/>
              </w:rPr>
              <w:t xml:space="preserve">Rating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z w:val="18"/>
                <w:szCs w:val="18"/>
                <w:rtl w:val="0"/>
              </w:rPr>
              <w:t xml:space="preserve">Priority Action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18"/>
                <w:szCs w:val="18"/>
                <w:rtl w:val="0"/>
              </w:rPr>
              <w:t xml:space="preserve">R-09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z w:val="18"/>
                <w:szCs w:val="18"/>
                <w:rtl w:val="0"/>
              </w:rPr>
              <w:t xml:space="preserve">IAM misconfiguration: excessive permissions, missing MFA, stale service principals. Entirely customer-responsible.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sz w:val="18"/>
                <w:szCs w:val="18"/>
                <w:rtl w:val="0"/>
              </w:rPr>
              <w:t xml:space="preserve">Critical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z w:val="18"/>
                <w:szCs w:val="18"/>
                <w:rtl w:val="0"/>
              </w:rPr>
              <w:t xml:space="preserve">Enforce conditional access + MFA; implement PIM; quarterly access reviews.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18"/>
                <w:szCs w:val="18"/>
                <w:rtl w:val="0"/>
              </w:rPr>
              <w:t xml:space="preserve">R-04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z w:val="18"/>
                <w:szCs w:val="18"/>
                <w:rtl w:val="0"/>
              </w:rPr>
              <w:t xml:space="preserve">Statutory tort (2024) creates direct litigation exposure from individuals for cloud misconfigurations resulting in unauthorized disclosure.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1"/>
                <w:bCs w:val="1"/>
                <w:sz w:val="18"/>
                <w:szCs w:val="18"/>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sz w:val="18"/>
                <w:szCs w:val="18"/>
                <w:rtl w:val="0"/>
              </w:rPr>
              <w:t xml:space="preserve">Privacy impact assessments for all Azure workloads; least-privilege access; DLP.</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sz w:val="18"/>
                <w:szCs w:val="18"/>
                <w:rtl w:val="0"/>
              </w:rPr>
              <w:t xml:space="preserve">R-06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sz w:val="18"/>
                <w:szCs w:val="18"/>
                <w:rtl w:val="0"/>
              </w:rPr>
              <w:t xml:space="preserve">APP 11 security obligations not satisfied by platform certification alone. </w:t>
            </w:r>
            <w:r w:rsidDel="00000000" w:rsidR="00000000" w:rsidRPr="00000000">
              <w:rPr>
                <w:sz w:val="18"/>
                <w:szCs w:val="18"/>
                <w:rtl w:val="0"/>
              </w:rPr>
              <w:t xml:space="preserve">Customers</w:t>
            </w:r>
            <w:r w:rsidDel="00000000" w:rsidR="00000000" w:rsidRPr="00000000">
              <w:rPr>
                <w:rFonts w:ascii="Arial" w:cs="Arial" w:eastAsia="Arial" w:hAnsi="Arial"/>
                <w:b w:val="0"/>
                <w:bCs w:val="0"/>
                <w:sz w:val="18"/>
                <w:szCs w:val="18"/>
                <w:rtl w:val="0"/>
              </w:rPr>
              <w:t xml:space="preserve"> must implement app-layer controls.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9">
            <w:pPr>
              <w:jc w:val="center"/>
              <w:rPr/>
            </w:pPr>
            <w:r w:rsidDel="00000000" w:rsidR="00000000" w:rsidRPr="00000000">
              <w:rPr>
                <w:rFonts w:ascii="Arial" w:cs="Arial" w:eastAsia="Arial" w:hAnsi="Arial"/>
                <w:b w:val="1"/>
                <w:bCs w:val="1"/>
                <w:sz w:val="18"/>
                <w:szCs w:val="18"/>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sz w:val="18"/>
                <w:szCs w:val="18"/>
                <w:rtl w:val="0"/>
              </w:rPr>
              <w:t xml:space="preserve">Deploy Defender for Cloud; RBAC; encryption at rest (CMK where needed); NSGs + WAF.</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18"/>
                <w:szCs w:val="18"/>
                <w:rtl w:val="0"/>
              </w:rPr>
              <w:t xml:space="preserve">R-07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sz w:val="18"/>
                <w:szCs w:val="18"/>
                <w:rtl w:val="0"/>
              </w:rPr>
              <w:t xml:space="preserve">NDB scheme breach detection depends on customer monitoring. Gaps in Sentinel/Log Analytics delay identification.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sz w:val="18"/>
                <w:szCs w:val="18"/>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sz w:val="18"/>
                <w:szCs w:val="18"/>
                <w:rtl w:val="0"/>
              </w:rPr>
              <w:t xml:space="preserve">Enable Sentinel across all subscriptions; configure alerts; breach response runbook.</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sz w:val="18"/>
                <w:szCs w:val="18"/>
                <w:rtl w:val="0"/>
              </w:rPr>
              <w:t xml:space="preserve">R-08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z w:val="18"/>
                <w:szCs w:val="18"/>
                <w:rtl w:val="0"/>
              </w:rPr>
              <w:t xml:space="preserve">SOCI Act 2024 amendments: cloud data storage now part of critical infrastructure. CIRMP must cover Azure.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sz w:val="18"/>
                <w:szCs w:val="18"/>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z w:val="18"/>
                <w:szCs w:val="18"/>
                <w:rtl w:val="0"/>
              </w:rPr>
              <w:t xml:space="preserve">Include Azure in CIRMP; vendor risk assessment of Microsoft; 12-hr ACSC reporting.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sz w:val="18"/>
                <w:szCs w:val="18"/>
                <w:rtl w:val="0"/>
              </w:rPr>
              <w:t xml:space="preserve">R-01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sz w:val="18"/>
                <w:szCs w:val="18"/>
                <w:rtl w:val="0"/>
              </w:rPr>
              <w:t xml:space="preserve">Certain services (Entra MFA, Databricks, Security Center) process limited data outside Australia.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sz w:val="18"/>
                <w:szCs w:val="18"/>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z w:val="18"/>
                <w:szCs w:val="18"/>
                <w:rtl w:val="0"/>
              </w:rPr>
              <w:t xml:space="preserve">Document cross-border flows; restrict sensitive workloads on affected services.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18"/>
                <w:szCs w:val="18"/>
                <w:rtl w:val="0"/>
              </w:rPr>
              <w:t xml:space="preserve">R-02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sz w:val="18"/>
                <w:szCs w:val="18"/>
                <w:rtl w:val="0"/>
              </w:rPr>
              <w:t xml:space="preserve">Global MSRC security operations may access data across geo boundaries for threat detection.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sz w:val="18"/>
                <w:szCs w:val="18"/>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sz w:val="18"/>
                <w:szCs w:val="18"/>
                <w:rtl w:val="0"/>
              </w:rPr>
              <w:t xml:space="preserve">Review DPA terms; assess against ISM/PSPF; use AU Central for sensitive data.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18"/>
                <w:szCs w:val="18"/>
                <w:rtl w:val="0"/>
              </w:rPr>
              <w:t xml:space="preserve">R-03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z w:val="18"/>
                <w:szCs w:val="18"/>
                <w:rtl w:val="0"/>
              </w:rPr>
              <w:t xml:space="preserve">DR misconfiguration could replicate data outside Australian geography.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sz w:val="18"/>
                <w:szCs w:val="18"/>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sz w:val="18"/>
                <w:szCs w:val="18"/>
                <w:rtl w:val="0"/>
              </w:rPr>
              <w:t xml:space="preserve">Azure Policy region restrictions; validate GRS/ZRS configs; test DR failover.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18"/>
                <w:szCs w:val="18"/>
                <w:rtl w:val="0"/>
              </w:rPr>
              <w:t xml:space="preserve">R-05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z w:val="18"/>
                <w:szCs w:val="18"/>
                <w:rtl w:val="0"/>
              </w:rPr>
              <w:t xml:space="preserve">Automated decision-making transparency (Dec 2026) implicates Azure AI/ML workloads.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sz w:val="18"/>
                <w:szCs w:val="18"/>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z w:val="18"/>
                <w:szCs w:val="18"/>
                <w:rtl w:val="0"/>
              </w:rPr>
              <w:t xml:space="preserve">Inventory automated decision systems; prepare disclosure framework before deadline.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z w:val="18"/>
                <w:szCs w:val="18"/>
                <w:rtl w:val="0"/>
              </w:rPr>
              <w:t xml:space="preserve">R-10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z w:val="18"/>
                <w:szCs w:val="18"/>
                <w:rtl w:val="0"/>
              </w:rPr>
              <w:t xml:space="preserve">Customer-managed key complexity: Key Vault misconfiguration or key loss = data unavailability.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1"/>
                <w:bCs w:val="1"/>
                <w:sz w:val="18"/>
                <w:szCs w:val="18"/>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z w:val="18"/>
                <w:szCs w:val="18"/>
                <w:rtl w:val="0"/>
              </w:rPr>
              <w:t xml:space="preserve">Soft-delete + purge protection; key rotation procedures; offline backup for DR.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18"/>
                <w:szCs w:val="18"/>
                <w:rtl w:val="0"/>
              </w:rPr>
              <w:t xml:space="preserve">R-11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z w:val="18"/>
                <w:szCs w:val="18"/>
                <w:rtl w:val="0"/>
              </w:rPr>
              <w:t xml:space="preserve">ISO 27001:2022 Azure Policy initiative (63 policies) has gaps vs. 2013 version (452 policies).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sz w:val="18"/>
                <w:szCs w:val="18"/>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z w:val="18"/>
                <w:szCs w:val="18"/>
                <w:rtl w:val="0"/>
              </w:rPr>
              <w:t xml:space="preserve">Supplement with custom policies; manual assessment for gaps; Defender dashboard.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sz w:val="18"/>
                <w:szCs w:val="18"/>
                <w:rtl w:val="0"/>
              </w:rPr>
              <w:t xml:space="preserve">R-12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z w:val="18"/>
                <w:szCs w:val="18"/>
                <w:rtl w:val="0"/>
              </w:rPr>
              <w:t xml:space="preserve">Microsoft supply chain concentration risk. Global incident would impact AU operations.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1"/>
                <w:bCs w:val="1"/>
                <w:sz w:val="18"/>
                <w:szCs w:val="18"/>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sz w:val="18"/>
                <w:szCs w:val="18"/>
                <w:rtl w:val="0"/>
              </w:rPr>
              <w:t xml:space="preserve">Exit strategy docs; multi-cloud DR evaluation; monitor advisories; subprocessor reviews.</w:t>
            </w:r>
            <w:r w:rsidDel="00000000" w:rsidR="00000000" w:rsidRPr="00000000">
              <w:rPr>
                <w:rtl w:val="0"/>
              </w:rPr>
            </w:r>
          </w:p>
        </w:tc>
      </w:tr>
    </w:tbl>
    <w:p w:rsidR="00000000" w:rsidDel="00000000" w:rsidP="00000000" w:rsidRDefault="00000000" w:rsidRPr="00000000" w14:paraId="0000003F">
      <w:pPr>
        <w:pStyle w:val="Heading1"/>
        <w:rPr>
          <w:color w:val="000000"/>
        </w:rPr>
      </w:pPr>
      <w:r w:rsidDel="00000000" w:rsidR="00000000" w:rsidRPr="00000000">
        <w:rPr>
          <w:rFonts w:ascii="Arial" w:cs="Arial" w:eastAsia="Arial" w:hAnsi="Arial"/>
          <w:color w:val="000000"/>
          <w:rtl w:val="0"/>
        </w:rPr>
        <w:t xml:space="preserve">Priority Recommendations</w:t>
      </w:r>
      <w:r w:rsidDel="00000000" w:rsidR="00000000" w:rsidRPr="00000000">
        <w:rPr>
          <w:rtl w:val="0"/>
        </w:rPr>
      </w:r>
    </w:p>
    <w:p w:rsidR="00000000" w:rsidDel="00000000" w:rsidP="00000000" w:rsidRDefault="00000000" w:rsidRPr="00000000" w14:paraId="00000040">
      <w:pPr>
        <w:pStyle w:val="Heading2"/>
        <w:rPr>
          <w:color w:val="000000"/>
        </w:rPr>
      </w:pPr>
      <w:r w:rsidDel="00000000" w:rsidR="00000000" w:rsidRPr="00000000">
        <w:rPr>
          <w:rFonts w:ascii="Arial" w:cs="Arial" w:eastAsia="Arial" w:hAnsi="Arial"/>
          <w:color w:val="000000"/>
          <w:rtl w:val="0"/>
        </w:rPr>
        <w:t xml:space="preserve">Immediate (0-90 Days)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Deploy Azure Policy ISO 27001:2022 initiative across all Australian subscriptions and establish baseline compliance scores in Defender for Cloud.</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Enforce conditional access policies requiring MFA for all users; implement Privileged Identity Management for administrative roles.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Document all Azure services with cross-border data flows; map against APP 8 disclosure requirements.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Enable Microsoft Sentinel with alert rules across all subscriptions; validate breach detection against NDB reporting timelines.</w:t>
      </w:r>
      <w:r w:rsidDel="00000000" w:rsidR="00000000" w:rsidRPr="00000000">
        <w:rPr>
          <w:rtl w:val="0"/>
        </w:rPr>
      </w:r>
    </w:p>
    <w:p w:rsidR="00000000" w:rsidDel="00000000" w:rsidP="00000000" w:rsidRDefault="00000000" w:rsidRPr="00000000" w14:paraId="00000045">
      <w:pPr>
        <w:pStyle w:val="Heading2"/>
        <w:rPr>
          <w:color w:val="000000"/>
        </w:rPr>
      </w:pPr>
      <w:r w:rsidDel="00000000" w:rsidR="00000000" w:rsidRPr="00000000">
        <w:rPr>
          <w:rFonts w:ascii="Arial" w:cs="Arial" w:eastAsia="Arial" w:hAnsi="Arial"/>
          <w:color w:val="000000"/>
          <w:rtl w:val="0"/>
        </w:rPr>
        <w:t xml:space="preserve">Short-Term (90-180 Days)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Conduct privacy impact assessments for all Azure workloads processing personal information under the new statutory tort risk profile.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For SOCI-regulated entities: expand CIRMP to include Azure infrastructure; conduct supply chain risk assessment of Microsoft; validate 12-hour ACSC incident reporting.</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Deploy Microsoft Purview DLP with custom sensitive information types for Australian identifiers (TFN, Medicare, ABN).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Implement Azure Policy resource location restrictions to prevent accidental deployment outside Australian regions.</w:t>
      </w:r>
      <w:r w:rsidDel="00000000" w:rsidR="00000000" w:rsidRPr="00000000">
        <w:rPr>
          <w:rtl w:val="0"/>
        </w:rPr>
      </w:r>
    </w:p>
    <w:p w:rsidR="00000000" w:rsidDel="00000000" w:rsidP="00000000" w:rsidRDefault="00000000" w:rsidRPr="00000000" w14:paraId="0000004A">
      <w:pPr>
        <w:pStyle w:val="Heading2"/>
        <w:rPr>
          <w:color w:val="000000"/>
        </w:rPr>
      </w:pPr>
      <w:r w:rsidDel="00000000" w:rsidR="00000000" w:rsidRPr="00000000">
        <w:rPr>
          <w:rFonts w:ascii="Arial" w:cs="Arial" w:eastAsia="Arial" w:hAnsi="Arial"/>
          <w:color w:val="000000"/>
          <w:rtl w:val="0"/>
        </w:rPr>
        <w:t xml:space="preserve">Medium-Term (180-365 Days)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Prepare automated decision-making disclosure framework ahead of December 2026 transparency requirement.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Develop and test cloud exit strategy including data extraction procedures and target platform evaluation.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Establish continuous compliance monitoring with quarterly control assessment cycles aligned to ISO 27001 internal audit requirements.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Evaluate customer-managed keys for PROTECTED-classified workloads with documented key management procedures.</w:t>
      </w:r>
      <w:r w:rsidDel="00000000" w:rsidR="00000000" w:rsidRPr="00000000">
        <w:rPr>
          <w:rtl w:val="0"/>
        </w:rPr>
      </w:r>
    </w:p>
    <w:p w:rsidR="00000000" w:rsidDel="00000000" w:rsidP="00000000" w:rsidRDefault="00000000" w:rsidRPr="00000000" w14:paraId="0000004F">
      <w:pPr>
        <w:spacing w:after="200" w:lineRule="auto"/>
        <w:rPr/>
      </w:pPr>
      <w:r w:rsidDel="00000000" w:rsidR="00000000" w:rsidRPr="00000000">
        <w:rPr>
          <w:rtl w:val="0"/>
        </w:rPr>
      </w:r>
    </w:p>
    <w:p w:rsidR="00000000" w:rsidDel="00000000" w:rsidP="00000000" w:rsidRDefault="00000000" w:rsidRPr="00000000" w14:paraId="00000050">
      <w:pPr>
        <w:pStyle w:val="Heading1"/>
        <w:rPr>
          <w:color w:val="000000"/>
        </w:rPr>
      </w:pPr>
      <w:r w:rsidDel="00000000" w:rsidR="00000000" w:rsidRPr="00000000">
        <w:rPr>
          <w:rFonts w:ascii="Arial" w:cs="Arial" w:eastAsia="Arial" w:hAnsi="Arial"/>
          <w:color w:val="000000"/>
          <w:rtl w:val="0"/>
        </w:rPr>
        <w:t xml:space="preserve">Key Takeaway</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rFonts w:ascii="Arial" w:cs="Arial" w:eastAsia="Arial" w:hAnsi="Arial"/>
          <w:sz w:val="21"/>
          <w:szCs w:val="21"/>
          <w:rtl w:val="0"/>
        </w:rPr>
        <w:t xml:space="preserve">Azure Australia's compliance posture is strong at the platform level. The regulatory environment, particularly the 2024 Privacy Act and SOCI Act amendments, has raised the compliance bar faster than most organizations' cloud governance maturity has kept pace. The risks identified here are manageable with disciplined implementation, and they require deliberate investment in customer-side controls, monitoring, and governance processes. Platform certification is the starting line, not the finish.</w:t>
      </w:r>
      <w:r w:rsidDel="00000000" w:rsidR="00000000" w:rsidRPr="00000000">
        <w:rPr>
          <w:rtl w:val="0"/>
        </w:rPr>
      </w:r>
    </w:p>
    <w:sectPr>
      <w:headerReference r:id="rId7" w:type="first"/>
      <w:footerReference r:id="rId8" w:type="default"/>
      <w:footerReference r:id="rId9" w:type="first"/>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center"/>
      <w:rPr/>
    </w:pP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1a1a1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555555"/>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yCoe8h50kJf3ORTq5fb4dIdPaw==">CgMxLjA4AHIhMTI1WHk4aE8zbjItaWxrYXJoWTdvRWFCbDIzUU1IS24y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2026-03-12T15:26:35.611Z</dcterms:created>
  <dc:creator>Un-named</dc:creator>
</cp:coreProperties>
</file>

<file path=docProps/custom.xml><?xml version="1.0" encoding="utf-8"?>
<Properties xmlns="http://schemas.openxmlformats.org/officeDocument/2006/custom-properties" xmlns:vt="http://schemas.openxmlformats.org/officeDocument/2006/docPropsVTypes"/>
</file>