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  <w:jc w:val="center"/>
      </w:pPr>
      <w:r>
        <w:rPr>
          <w:rFonts w:ascii="Microsoft YaHei" w:eastAsia="Microsoft YaHei"/>
          <w:b/>
          <w:bCs/>
          <w:color w:val="0066CC"/>
          <w:sz w:val="48"/>
          <w:szCs w:val="48"/>
        </w:rPr>
        <w:t xml:space="preserve">动物药理学虚拟仿真实验系统</w:t>
      </w:r>
    </w:p>
    <w:p>
      <w:pPr>
        <w:pStyle w:val="Heading3"/>
        <w:spacing w:after="120" w:before="200" w:line="360"/>
        <w:jc w:val="center"/>
      </w:pPr>
      <w:r>
        <w:rPr>
          <w:rFonts w:ascii="SimSun" w:eastAsia="SimSun"/>
          <w:b/>
          <w:bCs/>
          <w:color w:val="4D4D4D"/>
          <w:sz w:val="28"/>
          <w:szCs w:val="28"/>
        </w:rPr>
        <w:t xml:space="preserve">产品简介</w:t>
      </w:r>
    </w:p>
    <w:p>
      <w:pPr>
        <w:pStyle w:val="Heading2"/>
        <w:spacing w:after="180" w:before="240" w:line="360"/>
        <w:jc w:val="left"/>
      </w:pPr>
      <w:r>
        <w:rPr>
          <w:rFonts w:ascii="SimSun" w:eastAsia="SimSun"/>
          <w:b/>
          <w:bCs/>
          <w:color w:val="0066CC"/>
          <w:sz w:val="32"/>
          <w:szCs w:val="32"/>
        </w:rPr>
        <w:t xml:space="preserve">一、产品概述</w:t>
      </w:r>
    </w:p>
    <w:p>
      <w:pPr>
        <w:spacing w:after="0" w:line="360"/>
        <w:ind w:firstLine="420"/>
        <w:jc w:val="left"/>
      </w:pPr>
      <w:r>
        <w:rPr>
          <w:rFonts w:ascii="SimSun" w:eastAsia="SimSun"/>
          <w:color w:val="000000"/>
          <w:sz w:val="24"/>
          <w:szCs w:val="24"/>
        </w:rPr>
        <w:t xml:space="preserve">动物药理学虚拟仿真实验系统利用前沿三维仿真技术，1:1真实还原药理学实验室环境。系统深度集成基础实验技能训练与验证性实验，用户可在虚拟空间内完成家兔、小鼠的捉拿给药，以及传出神经、地西泮、氯丙嗪等药物对机体影响的深度学习。</w:t>
      </w:r>
    </w:p>
    <w:p>
      <w:pPr>
        <w:spacing w:after="0" w:line="360"/>
        <w:ind w:firstLine="420"/>
        <w:jc w:val="left"/>
      </w:pPr>
      <w:r>
        <w:rPr>
          <w:rFonts w:ascii="SimSun" w:eastAsia="SimSun"/>
          <w:color w:val="000000"/>
          <w:sz w:val="24"/>
          <w:szCs w:val="24"/>
        </w:rPr>
        <w:t xml:space="preserve">本系统采用3D MAX高精度建模，依托Unity 3D游戏级引擎构建仿真场景，彻底突破了现实实验中耗时长、容错率低、重复实验门槛高以及接触有毒、精麻药物的安全风险。通过高度可重复的虚拟练习，助力学生在安全、高效的环境中掌握核心药理实验技能。</w:t>
      </w:r>
    </w:p>
    <w:p>
      <w:pPr>
        <w:pStyle w:val="Heading2"/>
        <w:spacing w:after="180" w:before="240" w:line="360"/>
        <w:jc w:val="left"/>
      </w:pPr>
      <w:r>
        <w:rPr>
          <w:rFonts w:ascii="SimSun" w:eastAsia="SimSun"/>
          <w:b/>
          <w:bCs/>
          <w:color w:val="0066CC"/>
          <w:sz w:val="32"/>
          <w:szCs w:val="32"/>
        </w:rPr>
        <w:t xml:space="preserve">二、核心功能模块</w:t>
      </w:r>
    </w:p>
    <w:p>
      <w:pPr>
        <w:pStyle w:val="Heading3"/>
        <w:spacing w:after="120" w:before="200" w:line="360"/>
        <w:jc w:val="left"/>
      </w:pPr>
      <w:r>
        <w:rPr>
          <w:rFonts w:ascii="SimSun" w:eastAsia="SimSun"/>
          <w:b/>
          <w:bCs/>
          <w:color w:val="4D4D4D"/>
          <w:sz w:val="28"/>
          <w:szCs w:val="28"/>
        </w:rPr>
        <w:t xml:space="preserve">1. 基础实验技能训练模块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1:1还原捉拿技巧：覆盖家兔与小鼠的标准化捉拿流程，通过交互式操作掌握颈背部捉拿、翻转固定等核心动作。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全路径给药实训：包含灌胃、耳缘静脉注射、腹腔注射、皮下及肌内注射，精准模拟导尿管插入食道深度（15-18cm）及静脉穿刺阻力感。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实时规范反馈：系统自动判断给药位置是否准确，如灌胃时通过清水杯无气泡逸出验证是否进入食道。</w:t>
      </w:r>
    </w:p>
    <w:p>
      <w:pPr>
        <w:spacing w:after="60" w:before="12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SimSun" w:eastAsia="SimSun"/>
          <w:b/>
          <w:bCs/>
          <w:color w:val="000000"/>
          <w:sz w:val="24"/>
          <w:szCs w:val="24"/>
        </w:rPr>
        <w:t xml:space="preserve">图1：家兔灌胃及给药细节操作界面</w:t>
      </w:r>
    </w:p>
    <w:p>
      <w:pPr>
        <w:pStyle w:val="Heading3"/>
        <w:spacing w:after="120" w:before="200" w:line="360"/>
        <w:jc w:val="left"/>
      </w:pPr>
      <w:r>
        <w:rPr>
          <w:rFonts w:ascii="SimSun" w:eastAsia="SimSun"/>
          <w:b/>
          <w:bCs/>
          <w:color w:val="4D4D4D"/>
          <w:sz w:val="28"/>
          <w:szCs w:val="28"/>
        </w:rPr>
        <w:t xml:space="preserve">2. 验证性药理实验模块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多维药效观察：内置传出神经系统药对瞳孔影响、地西泮抗惊厥、氯丙嗪体温调节等8大经典实验。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高精度测量工具：虚拟实验室提供量瞳尺、婴儿秤、肛温计、秒表等专业仪器，支持实时数据记录。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动态过程模拟：实时展示药物作用后的生理变化，如瞳孔缩小/散大对比、惊厥躁动表现、以及体温随时间变化的动态曲线。</w:t>
      </w:r>
    </w:p>
    <w:p>
      <w:pPr>
        <w:spacing w:after="60" w:before="12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SimSun" w:eastAsia="SimSun"/>
          <w:b/>
          <w:bCs/>
          <w:color w:val="000000"/>
          <w:sz w:val="24"/>
          <w:szCs w:val="24"/>
        </w:rPr>
        <w:t xml:space="preserve">图2：传出神经系统药对瞳孔影响实验观察</w:t>
      </w:r>
    </w:p>
    <w:p>
      <w:pPr>
        <w:pStyle w:val="Heading3"/>
        <w:spacing w:after="120" w:before="200" w:line="360"/>
        <w:jc w:val="left"/>
      </w:pPr>
      <w:r>
        <w:rPr>
          <w:rFonts w:ascii="SimSun" w:eastAsia="SimSun"/>
          <w:b/>
          <w:bCs/>
          <w:color w:val="4D4D4D"/>
          <w:sz w:val="28"/>
          <w:szCs w:val="28"/>
        </w:rPr>
        <w:t xml:space="preserve">3. 智能互动与辅助模块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关键节点提问：实验过程中随机触发知识点考核，强化操作规范与药理逻辑理解。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实验报告系统：完整记录实验步骤、观察结果与结果判断，支持填写并生成标准化实验报告。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日志信息追踪：系统日志实时记录操作轨迹，方便学生回溯实验细节，排查操作失误。</w:t>
      </w:r>
    </w:p>
    <w:p>
      <w:pPr>
        <w:spacing w:after="60" w:before="12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SimSun" w:eastAsia="SimSun"/>
          <w:b/>
          <w:bCs/>
          <w:color w:val="000000"/>
          <w:sz w:val="24"/>
          <w:szCs w:val="24"/>
        </w:rPr>
        <w:t xml:space="preserve">图3：实验过程中的实时交互考核界面</w:t>
      </w:r>
    </w:p>
    <w:p>
      <w:pPr>
        <w:pStyle w:val="Heading3"/>
        <w:spacing w:after="120" w:before="200" w:line="360"/>
        <w:jc w:val="left"/>
      </w:pPr>
      <w:r>
        <w:rPr>
          <w:rFonts w:ascii="SimSun" w:eastAsia="SimSun"/>
          <w:b/>
          <w:bCs/>
          <w:color w:val="4D4D4D"/>
          <w:sz w:val="28"/>
          <w:szCs w:val="28"/>
        </w:rPr>
        <w:t xml:space="preserve">4. 全能考核评估模块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完整考试管理：支持科目管理、题库管理、考试管理及成绩管理，全维度覆盖教学考核需求。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智能题库系统：支持单选、多选题型，具备批量导入导出功能，提供系统截图作为佐证材料。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灵活参数设置：自定义考试名称、时长、及格线等，成绩管理支持查看错题详情并一键导出。</w:t>
      </w:r>
    </w:p>
    <w:p>
      <w:pPr>
        <w:pStyle w:val="Heading2"/>
        <w:spacing w:after="180" w:before="240" w:line="360"/>
        <w:jc w:val="left"/>
      </w:pPr>
      <w:r>
        <w:rPr>
          <w:rFonts w:ascii="SimSun" w:eastAsia="SimSun"/>
          <w:b/>
          <w:bCs/>
          <w:color w:val="0066CC"/>
          <w:sz w:val="32"/>
          <w:szCs w:val="32"/>
        </w:rPr>
        <w:t xml:space="preserve">三、技术优势</w:t>
      </w:r>
    </w:p>
    <w:tbl>
      <w:tblPr>
        <w:tblW w:type="pct" w:w="100%"/>
        <w:jc w:val="center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6"/>
          <w:insideV w:val="single" w:color="BFBFBF" w:sz="6"/>
        </w:tblBorders>
      </w:tblPr>
      <w:tblGrid>
        <w:gridCol w:w="100"/>
        <w:gridCol w:w="100"/>
      </w:tblGrid>
      <w:tr>
        <w:tc>
          <w:p>
            <w:pPr>
              <w:spacing w:line="360"/>
              <w:jc w:val="center"/>
            </w:pPr>
            <w:r>
              <w:rPr>
                <w:rFonts w:ascii="SimSun" w:eastAsia="SimSun"/>
                <w:b/>
                <w:bCs/>
                <w:color w:val="0066CC"/>
                <w:sz w:val="24"/>
                <w:szCs w:val="24"/>
              </w:rPr>
              <w:t xml:space="preserve">技术特点</w:t>
            </w:r>
          </w:p>
        </w:tc>
        <w:tc>
          <w:p>
            <w:pPr>
              <w:spacing w:line="360"/>
              <w:jc w:val="center"/>
            </w:pPr>
            <w:r>
              <w:rPr>
                <w:rFonts w:ascii="SimSun" w:eastAsia="SimSun"/>
                <w:b/>
                <w:bCs/>
                <w:color w:val="0066CC"/>
                <w:sz w:val="24"/>
                <w:szCs w:val="24"/>
              </w:rPr>
              <w:t xml:space="preserve">具体优势</w:t>
            </w:r>
          </w:p>
        </w:tc>
      </w:tr>
      <w:tr>
        <w:tc>
          <w:p>
            <w:pPr>
              <w:spacing w:line="360"/>
              <w:jc w:val="left"/>
            </w:pPr>
            <w:r>
              <w:rPr>
                <w:rFonts w:ascii="SimSun" w:eastAsia="SimSun"/>
                <w:b w:val="false"/>
                <w:bCs w:val="false"/>
                <w:color w:val="000000"/>
                <w:sz w:val="24"/>
                <w:szCs w:val="24"/>
              </w:rPr>
              <w:t xml:space="preserve">顶尖建模引擎</w:t>
            </w:r>
          </w:p>
        </w:tc>
        <w:tc>
          <w:p>
            <w:pPr>
              <w:spacing w:line="360"/>
              <w:jc w:val="left"/>
            </w:pPr>
            <w:r>
              <w:rPr>
                <w:rFonts w:ascii="SimSun" w:eastAsia="SimSun"/>
                <w:b w:val="false"/>
                <w:bCs w:val="false"/>
                <w:color w:val="000000"/>
                <w:sz w:val="24"/>
                <w:szCs w:val="24"/>
              </w:rPr>
              <w:t xml:space="preserve">采用3D MAX+Unity 3D引擎，像素级还原真实实验室场景与动物模型</w:t>
            </w:r>
          </w:p>
        </w:tc>
      </w:tr>
      <w:tr>
        <w:tc>
          <w:p>
            <w:pPr>
              <w:spacing w:line="360"/>
              <w:jc w:val="left"/>
            </w:pPr>
            <w:r>
              <w:rPr>
                <w:rFonts w:ascii="SimSun" w:eastAsia="SimSun"/>
                <w:b w:val="false"/>
                <w:bCs w:val="false"/>
                <w:color w:val="000000"/>
                <w:sz w:val="24"/>
                <w:szCs w:val="24"/>
              </w:rPr>
              <w:t xml:space="preserve">严苛设计标准</w:t>
            </w:r>
          </w:p>
        </w:tc>
        <w:tc>
          <w:p>
            <w:pPr>
              <w:spacing w:line="360"/>
              <w:jc w:val="left"/>
            </w:pPr>
            <w:r>
              <w:rPr>
                <w:rFonts w:ascii="SimSun" w:eastAsia="SimSun"/>
                <w:b w:val="false"/>
                <w:bCs w:val="false"/>
                <w:color w:val="000000"/>
                <w:sz w:val="24"/>
                <w:szCs w:val="24"/>
              </w:rPr>
              <w:t xml:space="preserve">严格遵循GB8566-88等五项国家计算机软件开发与测试规范</w:t>
            </w:r>
          </w:p>
        </w:tc>
      </w:tr>
      <w:tr>
        <w:tc>
          <w:p>
            <w:pPr>
              <w:spacing w:line="360"/>
              <w:jc w:val="left"/>
            </w:pPr>
            <w:r>
              <w:rPr>
                <w:rFonts w:ascii="SimSun" w:eastAsia="SimSun"/>
                <w:b w:val="false"/>
                <w:bCs w:val="false"/>
                <w:color w:val="000000"/>
                <w:sz w:val="24"/>
                <w:szCs w:val="24"/>
              </w:rPr>
              <w:t xml:space="preserve">高度仿真交互</w:t>
            </w:r>
          </w:p>
        </w:tc>
        <w:tc>
          <w:p>
            <w:pPr>
              <w:spacing w:line="360"/>
              <w:jc w:val="left"/>
            </w:pPr>
            <w:r>
              <w:rPr>
                <w:rFonts w:ascii="SimSun" w:eastAsia="SimSun"/>
                <w:b w:val="false"/>
                <w:bCs w:val="false"/>
                <w:color w:val="000000"/>
                <w:sz w:val="24"/>
                <w:szCs w:val="24"/>
              </w:rPr>
              <w:t xml:space="preserve">模拟真实的穿刺阻力、动物挣扎反应及精密仪器操作手感</w:t>
            </w:r>
          </w:p>
        </w:tc>
      </w:tr>
      <w:tr>
        <w:tc>
          <w:p>
            <w:pPr>
              <w:spacing w:line="360"/>
              <w:jc w:val="left"/>
            </w:pPr>
            <w:r>
              <w:rPr>
                <w:rFonts w:ascii="SimSun" w:eastAsia="SimSun"/>
                <w:b w:val="false"/>
                <w:bCs w:val="false"/>
                <w:color w:val="000000"/>
                <w:sz w:val="24"/>
                <w:szCs w:val="24"/>
              </w:rPr>
              <w:t xml:space="preserve">全方位管理体系</w:t>
            </w:r>
          </w:p>
        </w:tc>
        <w:tc>
          <w:p>
            <w:pPr>
              <w:spacing w:line="360"/>
              <w:jc w:val="left"/>
            </w:pPr>
            <w:r>
              <w:rPr>
                <w:rFonts w:ascii="SimSun" w:eastAsia="SimSun"/>
                <w:b w:val="false"/>
                <w:bCs w:val="false"/>
                <w:color w:val="000000"/>
                <w:sz w:val="24"/>
                <w:szCs w:val="24"/>
              </w:rPr>
              <w:t xml:space="preserve">集成教师/学生双端账号管理，支持大规模在线考核与成绩追踪</w:t>
            </w:r>
          </w:p>
        </w:tc>
      </w:tr>
    </w:tbl>
    <w:p>
      <w:pPr>
        <w:pStyle w:val="Heading2"/>
        <w:spacing w:after="180" w:before="240" w:line="360"/>
        <w:jc w:val="left"/>
      </w:pPr>
      <w:r>
        <w:rPr>
          <w:rFonts w:ascii="SimSun" w:eastAsia="SimSun"/>
          <w:b/>
          <w:bCs/>
          <w:color w:val="0066CC"/>
          <w:sz w:val="32"/>
          <w:szCs w:val="32"/>
        </w:rPr>
        <w:t xml:space="preserve">四、教学优势与应用效果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安全风险归零：有效规避学生接触有毒试剂、精麻药物及实验动物伤人的现实隐患。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实验容错自由：支持不限次数的重复练习，允许学生在"试错"中深度理解给药失误带来的后果。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教学资源扩容：打破季节、地理、动物供应及药物管控的限制，随时随地开启药理实训。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考核公正高效：全自动评估系统减少人工阅卷偏差，详细的答题日志便于针对性查漏补缺。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沉浸学习体验：游戏化交互设计显著提升学生学习热情，将枯燥的规格书转化为生动的实践。</w:t>
      </w:r>
    </w:p>
    <w:p>
      <w:pPr>
        <w:pStyle w:val="Heading2"/>
        <w:spacing w:after="180" w:before="240" w:line="360"/>
        <w:jc w:val="left"/>
      </w:pPr>
      <w:r>
        <w:rPr>
          <w:rFonts w:ascii="SimSun" w:eastAsia="SimSun"/>
          <w:b/>
          <w:bCs/>
          <w:color w:val="0066CC"/>
          <w:sz w:val="32"/>
          <w:szCs w:val="32"/>
        </w:rPr>
        <w:t xml:space="preserve">五、适用专业与课程</w:t>
      </w:r>
    </w:p>
    <w:p>
      <w:pPr>
        <w:spacing w:after="0" w:line="360"/>
        <w:ind w:firstLine="420"/>
        <w:jc w:val="left"/>
      </w:pPr>
      <w:r>
        <w:rPr>
          <w:rFonts w:ascii="SimSun" w:eastAsia="SimSun"/>
          <w:color w:val="000000"/>
          <w:sz w:val="24"/>
          <w:szCs w:val="24"/>
        </w:rPr>
        <w:t xml:space="preserve">适用专业：临床医学、药学、动物医学、生物制药、护理学、中药学、医学检验技术等专业。</w:t>
      </w:r>
    </w:p>
    <w:p>
      <w:pPr>
        <w:spacing w:after="0" w:line="360"/>
        <w:ind w:firstLine="420"/>
        <w:jc w:val="left"/>
      </w:pPr>
      <w:r>
        <w:rPr>
          <w:rFonts w:ascii="SimSun" w:eastAsia="SimSun"/>
          <w:color w:val="000000"/>
          <w:sz w:val="24"/>
          <w:szCs w:val="24"/>
        </w:rPr>
        <w:t xml:space="preserve">主要课程：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《药理学》- 药物作用机制、给药途径对药效的影响及典型药物验证。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《实验动物学》- 标准化动物捉拿、固定、给药及生物安全规范。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《临床药理学》- 镇静催眠药、中枢兴奋药及自主神经系统药物实验。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《毒理学基础》- 有毒物质的接触风险规避与生理指标监测实训。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rPr>
          <w:rFonts w:ascii="SimSun" w:eastAsia="SimSun"/>
          <w:color w:val="000000"/>
          <w:sz w:val="24"/>
          <w:szCs w:val="24"/>
        </w:rPr>
        <w:t xml:space="preserve">《中药药理学》- 苦杏仁、酸枣仁、鱼腥草等中药药效学虚拟实证。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22dbeb5d5271d6a2150b94ee2e4c7d6d5c06d0.undefined"/><Relationship Id="rId8" Type="http://schemas.openxmlformats.org/officeDocument/2006/relationships/image" Target="media/908908cadc05b9892bab5c7c1e3ef83e9bb13bca.undefined"/><Relationship Id="rId9" Type="http://schemas.openxmlformats.org/officeDocument/2006/relationships/image" Target="media/d80a1878911df5149189659add761e7f3204cd3b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2026-03-04T10:27:38.060Z</dcterms:created>
  <dcterms:modified xsi:type="dcterms:W3CDTF">2026-03-04T10:27:38.061Z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