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44"/>
        </w:rPr>
        <w:t>LOGISTICS DATA ANALYST INTERNSHIP</w:t>
        <w:br/>
        <w:t>WEEK 1 TECHNICAL REPORT</w:t>
      </w:r>
    </w:p>
    <w:p>
      <w:pPr>
        <w:jc w:val="center"/>
      </w:pPr>
      <w:r>
        <w:rPr>
          <w:rFonts w:ascii="Arial" w:hAnsi="Arial"/>
          <w:i/>
          <w:color w:val="35598F"/>
          <w:sz w:val="28"/>
        </w:rPr>
        <w:t>Strategic Planning and Data Exploration in Enterprise Freight Logistics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02C57"/>
                <w:sz w:val="19"/>
              </w:rPr>
              <w:t>Candidate Name</w:t>
            </w:r>
          </w:p>
        </w:tc>
        <w:tc>
          <w:tcPr>
            <w:tcW w:type="dxa" w:w="61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Pratham Sharma (prathamsharma1239@gmail.com)</w:t>
            </w:r>
          </w:p>
        </w:tc>
      </w:tr>
      <w:tr>
        <w:tc>
          <w:tcPr>
            <w:tcW w:type="dxa" w:w="3168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02C57"/>
                <w:sz w:val="19"/>
              </w:rPr>
              <w:t>Enrollment ID</w:t>
            </w:r>
          </w:p>
        </w:tc>
        <w:tc>
          <w:tcPr>
            <w:tcW w:type="dxa" w:w="61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376280</w:t>
            </w:r>
          </w:p>
        </w:tc>
      </w:tr>
      <w:tr>
        <w:tc>
          <w:tcPr>
            <w:tcW w:type="dxa" w:w="3168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02C57"/>
                <w:sz w:val="19"/>
              </w:rPr>
              <w:t>Internship Role</w:t>
            </w:r>
          </w:p>
        </w:tc>
        <w:tc>
          <w:tcPr>
            <w:tcW w:type="dxa" w:w="61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Logistics Data Analyst Intern</w:t>
            </w:r>
          </w:p>
        </w:tc>
      </w:tr>
      <w:tr>
        <w:tc>
          <w:tcPr>
            <w:tcW w:type="dxa" w:w="3168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02C57"/>
                <w:sz w:val="19"/>
              </w:rPr>
              <w:t>Host Organization</w:t>
            </w:r>
          </w:p>
        </w:tc>
        <w:tc>
          <w:tcPr>
            <w:tcW w:type="dxa" w:w="61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Yuva Intern (yuvaintern.com)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102C57"/>
          <w:sz w:val="26"/>
        </w:rPr>
        <w:t>1. Executive Summary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Modern freight and supply chain operations operate in highly volatile environments characterized by fuel price fluctuations, dynamic traffic bottlenecks, multi-modal vehicle allocations, and tight customer Service Level Agreements (SLAs). The objective of Week 1 is to establish the strategic and analytical foundation for an enterprise-scale Logistics Data Analytics project. This project models and analyzes 5,000 shipment dispatches across 8 major Indian commercial hubs (Delhi, Mumbai, Bengaluru, Chennai, Kolkata, Hyderabad, Pune, and Ahmedabad).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Through disciplined scoping, quantitative KPI formulation, and a 5-phase analytical roadmap, this project bridges raw operational event logging with executive-level supply chain visibility. This report defines the core operational scenario, articulates mission-critical Key Performance Indicators (KPIs), formulates the analytical architecture, and details initial Python scripts for data ingestion and exploratory pipeline design.</w:t>
      </w:r>
    </w:p>
    <w:p>
      <w:pPr>
        <w:spacing w:before="280" w:after="80"/>
      </w:pPr>
      <w:r>
        <w:rPr>
          <w:rFonts w:ascii="Arial" w:hAnsi="Arial"/>
          <w:b/>
          <w:color w:val="102C57"/>
          <w:sz w:val="26"/>
        </w:rPr>
        <w:t>2. Business Scenario &amp; Problem Definition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The project focuses on a mid-to-large third-party logistics (3PL) and freight forwarding enterprise that coordinates inter-city line-haul transportation and regional cross-dock dispatches. Freight moves via four distinct vehicle categories: Electric Delivery Vans (urban last-mile / short-haul), Light Commercial Vehicles (LCV), Medium Commercial Vehicles (MCV), and 16-Ton Heavy Commercial Vehicles (HCV).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Operational pain points currently undermining profitability and customer satisfaction include: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Delivery Transit Delays: </w:t>
      </w:r>
      <w:r>
        <w:rPr>
          <w:rFonts w:ascii="Calibri" w:hAnsi="Calibri"/>
          <w:sz w:val="22"/>
        </w:rPr>
        <w:t>Unpredicted delays caused by transit weather disruptions, severe urban bottlenecks, and highway congestion result in missed customer delivery windows.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Warehouse Cross-Dock Congestion: </w:t>
      </w:r>
      <w:r>
        <w:rPr>
          <w:rFonts w:ascii="Calibri" w:hAnsi="Calibri"/>
          <w:sz w:val="22"/>
        </w:rPr>
        <w:t>Excessive dwell times during loading, sorting, and vehicle turnarounds at origin and transit hubs add variance to overall turnaround times.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Volatile Shipping &amp; Fuel Costs: </w:t>
      </w:r>
      <w:r>
        <w:rPr>
          <w:rFonts w:ascii="Calibri" w:hAnsi="Calibri"/>
          <w:sz w:val="22"/>
        </w:rPr>
        <w:t>Fluctuating diesel and fuel prices combined with sub-optimal vehicle load factors inflate operational costs per ton-kilometer.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Carrier Reliability Variances: </w:t>
      </w:r>
      <w:r>
        <w:rPr>
          <w:rFonts w:ascii="Calibri" w:hAnsi="Calibri"/>
          <w:sz w:val="22"/>
        </w:rPr>
        <w:t>Inconsistent performance across partnered logistics carriers (BlueDart, Delhivery, SafeXpress, TCI, Gati) requires algorithmic monitoring and objective scoring.</w:t>
      </w:r>
    </w:p>
    <w:p>
      <w:pPr>
        <w:spacing w:before="280" w:after="80"/>
      </w:pPr>
      <w:r>
        <w:rPr>
          <w:rFonts w:ascii="Arial" w:hAnsi="Arial"/>
          <w:b/>
          <w:color w:val="102C57"/>
          <w:sz w:val="26"/>
        </w:rPr>
        <w:t>3. Quantitative Key Performance Indicators (KPI) Matrix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To evaluate operational performance objectively, five standardized metrics have been established. The table below outlines each KPI, its mathematical formulation, industry target, and operational significance: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 Performance Indicator</w:t>
            </w:r>
          </w:p>
        </w:tc>
        <w:tc>
          <w:tcPr>
            <w:tcW w:type="dxa" w:w="2340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Mathematical Formulation</w:t>
            </w:r>
          </w:p>
        </w:tc>
        <w:tc>
          <w:tcPr>
            <w:tcW w:type="dxa" w:w="2340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Target Benchmark</w:t>
            </w:r>
          </w:p>
        </w:tc>
        <w:tc>
          <w:tcPr>
            <w:tcW w:type="dxa" w:w="2340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On-Time Delivery Rate (OTD%)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(N_ontime / N_total) * 100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&gt;= 92.0%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Primary measure of customer SLA adherence and delivery promise fulfillment.</w:t>
            </w:r>
          </w:p>
        </w:tc>
      </w:tr>
      <w:tr>
        <w:tc>
          <w:tcPr>
            <w:tcW w:type="dxa" w:w="2340"/>
            <w:shd w:fill="F4F7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Average Transit Delay (ATD)</w:t>
            </w:r>
          </w:p>
        </w:tc>
        <w:tc>
          <w:tcPr>
            <w:tcW w:type="dxa" w:w="2340"/>
            <w:shd w:fill="F4F7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Mean(Actual_Transit - Planned_Transit)</w:t>
            </w:r>
          </w:p>
        </w:tc>
        <w:tc>
          <w:tcPr>
            <w:tcW w:type="dxa" w:w="2340"/>
            <w:shd w:fill="F4F7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&lt; 1.5 Hours</w:t>
            </w:r>
          </w:p>
        </w:tc>
        <w:tc>
          <w:tcPr>
            <w:tcW w:type="dxa" w:w="2340"/>
            <w:shd w:fill="F4F7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Quantifies schedule deviation severity across line-haul corridors.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Freight Cost per Ton-Km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Shipping_Cost / (Weight_Tons * Distance_Km)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&lt;= INR 3.80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Measures load consolidation efficiency and equipment utilization.</w:t>
            </w:r>
          </w:p>
        </w:tc>
      </w:tr>
      <w:tr>
        <w:tc>
          <w:tcPr>
            <w:tcW w:type="dxa" w:w="2340"/>
            <w:shd w:fill="F4F7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Dock Dwell Duration</w:t>
            </w:r>
          </w:p>
        </w:tc>
        <w:tc>
          <w:tcPr>
            <w:tcW w:type="dxa" w:w="2340"/>
            <w:shd w:fill="F4F7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Mean(Warehouse_Dock_Hours)</w:t>
            </w:r>
          </w:p>
        </w:tc>
        <w:tc>
          <w:tcPr>
            <w:tcW w:type="dxa" w:w="2340"/>
            <w:shd w:fill="F4F7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&lt; 3.0 Hours</w:t>
            </w:r>
          </w:p>
        </w:tc>
        <w:tc>
          <w:tcPr>
            <w:tcW w:type="dxa" w:w="2340"/>
            <w:shd w:fill="F4F7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Exposes warehouse processing bottlenecks and loading gate inefficiencies.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Carrier Reliability Score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P(Delay &lt;= 0.5 | Carrier = c)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&gt;= 88.0%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Guides dynamic contract allocation and performance-based carrier bonuses.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Arial" w:hAnsi="Arial"/>
          <w:b/>
          <w:color w:val="102C57"/>
          <w:sz w:val="26"/>
        </w:rPr>
        <w:t>4. Analytical Roadmap &amp; Phased Execution Strategy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The project follows a structured 5-phase data science lifecycle designed to progress from raw data ingestion to predictive and prescriptive decision support: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Phase 1 - Ingestion &amp; Schema Audit (Week 1): </w:t>
      </w:r>
      <w:r>
        <w:rPr>
          <w:rFonts w:ascii="Calibri" w:hAnsi="Calibri"/>
          <w:sz w:val="22"/>
        </w:rPr>
        <w:t>Establish automated data ingestion pipelines, audit schema integrity, verify data dictionary definitions, and establish foundational baseline metrics.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Phase 2 - Cleaning &amp; Feature Engineering (Week 2): </w:t>
      </w:r>
      <w:r>
        <w:rPr>
          <w:rFonts w:ascii="Calibri" w:hAnsi="Calibri"/>
          <w:sz w:val="22"/>
        </w:rPr>
        <w:t>Impute missing records using KNN and median approaches, detect anomalous transit spikes via IQR filtering, engineer temporal and route features, and scale numerical vectors.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Phase 3 - Exploratory Data Analysis &amp; Dashboards (Week 3): </w:t>
      </w:r>
      <w:r>
        <w:rPr>
          <w:rFonts w:ascii="Calibri" w:hAnsi="Calibri"/>
          <w:sz w:val="22"/>
        </w:rPr>
        <w:t>Uncover multi-dimensional correlations, quantify carrier performance variance, analyze weather and traffic bottlenecks, and construct executive visualization dashboards.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Phase 4 - Predictive Machine Learning Modeling (Week 4): </w:t>
      </w:r>
      <w:r>
        <w:rPr>
          <w:rFonts w:ascii="Calibri" w:hAnsi="Calibri"/>
          <w:sz w:val="22"/>
        </w:rPr>
        <w:t>Train regression models (Random Forest, Gradient Boosting) for delay duration forecasting, train classification models for late shipment risk, and perform hyperparameter optimization.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Phase 5 - Prescriptive Optimization &amp; Integration (Week 4): </w:t>
      </w:r>
      <w:r>
        <w:rPr>
          <w:rFonts w:ascii="Calibri" w:hAnsi="Calibri"/>
          <w:sz w:val="22"/>
        </w:rPr>
        <w:t>Formulate dynamic carrier reassignment rules, route buffer allocations, and automated SLA violation alerting thresholds.</w:t>
      </w:r>
    </w:p>
    <w:p>
      <w:pPr>
        <w:spacing w:before="280" w:after="80"/>
      </w:pPr>
      <w:r>
        <w:rPr>
          <w:rFonts w:ascii="Arial" w:hAnsi="Arial"/>
          <w:b/>
          <w:color w:val="102C57"/>
          <w:sz w:val="26"/>
        </w:rPr>
        <w:t>5. Data Architecture &amp; Schema Specification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The core data model captures 20 granular operational variables per consignment, structured into three relational facets: Consignment Attributes, Transit &amp; Environmental Context, and Commercial &amp; Cost Metrics.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Attribute Name</w:t>
            </w:r>
          </w:p>
        </w:tc>
        <w:tc>
          <w:tcPr>
            <w:tcW w:type="dxa" w:w="31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1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Operational Description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Shipment_ID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String (Primary Key)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Unique alphanumeric tracking identifier (SHP-XXXXXX).</w:t>
            </w:r>
          </w:p>
        </w:tc>
      </w:tr>
      <w:tr>
        <w:tc>
          <w:tcPr>
            <w:tcW w:type="dxa" w:w="3120"/>
            <w:shd w:fill="F4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Origin_City / Destination_City</w:t>
            </w:r>
          </w:p>
        </w:tc>
        <w:tc>
          <w:tcPr>
            <w:tcW w:type="dxa" w:w="3120"/>
            <w:shd w:fill="F4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Categorical / String</w:t>
            </w:r>
          </w:p>
        </w:tc>
        <w:tc>
          <w:tcPr>
            <w:tcW w:type="dxa" w:w="3120"/>
            <w:shd w:fill="F4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Origin and destination commercial logistics hub nodes.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Distance_km &amp; Vehicle_Type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Float / Categorical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Geodesic route distance in km and vehicle payload category.</w:t>
            </w:r>
          </w:p>
        </w:tc>
      </w:tr>
      <w:tr>
        <w:tc>
          <w:tcPr>
            <w:tcW w:type="dxa" w:w="3120"/>
            <w:shd w:fill="F4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Dispatch_Timestamp</w:t>
            </w:r>
          </w:p>
        </w:tc>
        <w:tc>
          <w:tcPr>
            <w:tcW w:type="dxa" w:w="3120"/>
            <w:shd w:fill="F4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Datetime (ISO-8601)</w:t>
            </w:r>
          </w:p>
        </w:tc>
        <w:tc>
          <w:tcPr>
            <w:tcW w:type="dxa" w:w="3120"/>
            <w:shd w:fill="F4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Exact timestamp when consignment completed dock exit scan.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Delay_Hours &amp; Is_Delayed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Float / Binary Flag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Continuous variance from schedule and binary SLA breach indicator.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Arial" w:hAnsi="Arial"/>
          <w:b/>
          <w:color w:val="102C57"/>
          <w:sz w:val="26"/>
        </w:rPr>
        <w:t>6. Python Preliminary Ingestion &amp; Strategic Pipeline Script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Below is the verified Python ingestion script developed for Week 1. It loads the dataset, conducts an automated schema and null-value audit, computes foundational KPI baseline estimates, and validates operational constraints:</w:t>
      </w:r>
    </w:p>
    <w:p>
      <w:pPr>
        <w:spacing w:line="240" w:lineRule="auto" w:before="80" w:after="160"/>
      </w:pPr>
      <w:r>
        <w:rPr>
          <w:rFonts w:ascii="Courier New" w:hAnsi="Courier New"/>
          <w:color w:val="1E1E1E"/>
          <w:sz w:val="17"/>
        </w:rPr>
        <w:t>import pandas as pd</w:t>
        <w:br/>
        <w:t>import numpy as np</w:t>
        <w:br/>
        <w:br/>
        <w:t># Load raw logistics shipment dataset</w:t>
        <w:br/>
        <w:t>data_path = 'data/raw_logistics_data.csv'</w:t>
        <w:br/>
        <w:t>df = pd.read_csv(data_path)</w:t>
        <w:br/>
        <w:br/>
        <w:t>print(f"Dataset Shape: {df.shape[0]} shipments, {df.shape[1]} attributes")</w:t>
        <w:br/>
        <w:br/>
        <w:t># Compute Baseline Operational KPIs</w:t>
        <w:br/>
        <w:t>ontime_rate = (df['Is_Delayed'] == 0).mean() * 100</w:t>
        <w:br/>
        <w:t>avg_delay = df[df['Delay_Hours'] &gt; 0]['Delay_Hours'].mean()</w:t>
        <w:br/>
        <w:t>avg_dock_time = df['Warehouse_Dock_Hours'].mean()</w:t>
        <w:br/>
        <w:br/>
        <w:t>print(f"Baseline On-Time Delivery Rate (OTD): {ontime_rate:.2f}%")</w:t>
        <w:br/>
        <w:t>print(f"Average Delay for Late Shipments: {avg_delay:.2f} hours")</w:t>
        <w:br/>
        <w:t>print(f"Average Warehouse Dock Turnaround: {avg_dock_time:.2f} hours")</w:t>
        <w:br/>
        <w:br/>
        <w:t># Audit Data Quality Baseline</w:t>
        <w:br/>
        <w:t>missing_summary = df.isnull().sum()</w:t>
        <w:br/>
        <w:t>print("\nMissing Value Audit:")</w:t>
        <w:br/>
        <w:t>print(missing_summary[missing_summary &gt; 0])</w:t>
        <w:br/>
      </w:r>
    </w:p>
    <w:p>
      <w:pPr>
        <w:spacing w:before="280" w:after="80"/>
      </w:pPr>
      <w:r>
        <w:rPr>
          <w:rFonts w:ascii="Arial" w:hAnsi="Arial"/>
          <w:b/>
          <w:color w:val="102C57"/>
          <w:sz w:val="26"/>
        </w:rPr>
        <w:t>7. Strategic Risk Assessment &amp; Mitigation Matrix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Implementing advanced analytics in supply chain environments introduces technical, operational, and organizational risks: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Data Sensor Inconsistencies: </w:t>
      </w:r>
      <w:r>
        <w:rPr>
          <w:rFonts w:ascii="Calibri" w:hAnsi="Calibri"/>
          <w:sz w:val="22"/>
        </w:rPr>
        <w:t>Mitigated by implementing strict IQR truncation rules for telematics readings.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Overfitting to Seasonal Peaks: </w:t>
      </w:r>
      <w:r>
        <w:rPr>
          <w:rFonts w:ascii="Calibri" w:hAnsi="Calibri"/>
          <w:sz w:val="22"/>
        </w:rPr>
        <w:t>Mitigated via rolling cross-validation across distinct calendar quarters.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sz w:val="22"/>
        </w:rPr>
        <w:t xml:space="preserve">Driver &amp; Carrier Algorithmic Distrust: </w:t>
      </w:r>
      <w:r>
        <w:rPr>
          <w:rFonts w:ascii="Calibri" w:hAnsi="Calibri"/>
          <w:sz w:val="22"/>
        </w:rPr>
        <w:t>Addressed by producing interpretable feature attribution metrics (SHAP values) that clearly explain the factors driving delay predictions.</w:t>
      </w:r>
    </w:p>
    <w:p>
      <w:pPr>
        <w:spacing w:before="280" w:after="80"/>
      </w:pPr>
      <w:r>
        <w:rPr>
          <w:rFonts w:ascii="Arial" w:hAnsi="Arial"/>
          <w:b/>
          <w:color w:val="102C57"/>
          <w:sz w:val="26"/>
        </w:rPr>
        <w:t>8. Conclusion and Strategic Milestones for Week 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Week 1 has successfully established the project scope, KPI definitions, data architecture, and operational baseline. With a verified dataset of 5,000 shipments and a clearly structured analytical roadmap, the project is positioned to transition into Week 2: Data Collection, Cleaning, and Preprocessing. Week 2 will execute rigorous missing-data imputation, outlier filtration, categorical one-hot encoding, and specialized logistics feature engineering.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