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44"/>
        </w:rPr>
        <w:t>LOGISTICS DATA ANALYST INTERNSHIP</w:t>
        <w:br/>
        <w:t>WEEK 2 TECHNICAL REPORT</w:t>
      </w:r>
    </w:p>
    <w:p>
      <w:pPr>
        <w:jc w:val="center"/>
      </w:pPr>
      <w:r>
        <w:rPr>
          <w:rFonts w:ascii="Arial" w:hAnsi="Arial"/>
          <w:i/>
          <w:color w:val="35598F"/>
          <w:sz w:val="28"/>
        </w:rPr>
        <w:t>Data Collection, Cleaning, and Preprocessing for Logistics Analysis</w:t>
      </w:r>
    </w:p>
    <w:tbl>
      <w:tblPr>
        <w:tblW w:type="auto" w:w="0"/>
        <w:jc w:val="center"/>
        <w:tblLook w:firstColumn="1" w:firstRow="1" w:lastColumn="0" w:lastRow="0" w:noHBand="0" w:noVBand="1" w:val="04A0"/>
      </w:tblPr>
      <w:tblGrid>
        <w:gridCol w:w="4680"/>
        <w:gridCol w:w="4680"/>
      </w:tblGrid>
      <w:tr>
        <w:tc>
          <w:tcPr>
            <w:tcW w:type="dxa" w:w="3168"/>
            <w:shd w:fill="EBF3FA"/>
            <w:tcMar>
              <w:top w:w="80" w:type="dxa"/>
              <w:bottom w:w="80" w:type="dxa"/>
              <w:left w:w="100" w:type="dxa"/>
              <w:right w:w="100" w:type="dxa"/>
            </w:tcMar>
          </w:tcPr>
          <w:p>
            <w:r>
              <w:rPr>
                <w:rFonts w:ascii="Arial" w:hAnsi="Arial"/>
                <w:b/>
                <w:color w:val="102C57"/>
                <w:sz w:val="19"/>
              </w:rPr>
              <w:t>Candidate Name</w:t>
            </w:r>
          </w:p>
        </w:tc>
        <w:tc>
          <w:tcPr>
            <w:tcW w:type="dxa" w:w="6192"/>
            <w:shd w:fill="F9FBFD"/>
            <w:tcMar>
              <w:top w:w="80" w:type="dxa"/>
              <w:bottom w:w="80" w:type="dxa"/>
              <w:left w:w="100" w:type="dxa"/>
              <w:right w:w="100" w:type="dxa"/>
            </w:tcMar>
          </w:tcPr>
          <w:p>
            <w:r>
              <w:rPr>
                <w:rFonts w:ascii="Arial" w:hAnsi="Arial"/>
                <w:sz w:val="19"/>
              </w:rPr>
              <w:t>Pratham Sharma (prathamsharma1239@gmail.com)</w:t>
            </w:r>
          </w:p>
        </w:tc>
      </w:tr>
      <w:tr>
        <w:tc>
          <w:tcPr>
            <w:tcW w:type="dxa" w:w="3168"/>
            <w:shd w:fill="EBF3FA"/>
            <w:tcMar>
              <w:top w:w="80" w:type="dxa"/>
              <w:bottom w:w="80" w:type="dxa"/>
              <w:left w:w="100" w:type="dxa"/>
              <w:right w:w="100" w:type="dxa"/>
            </w:tcMar>
          </w:tcPr>
          <w:p>
            <w:r>
              <w:rPr>
                <w:rFonts w:ascii="Arial" w:hAnsi="Arial"/>
                <w:b/>
                <w:color w:val="102C57"/>
                <w:sz w:val="19"/>
              </w:rPr>
              <w:t>Enrollment ID</w:t>
            </w:r>
          </w:p>
        </w:tc>
        <w:tc>
          <w:tcPr>
            <w:tcW w:type="dxa" w:w="6192"/>
            <w:shd w:fill="F9FBFD"/>
            <w:tcMar>
              <w:top w:w="80" w:type="dxa"/>
              <w:bottom w:w="80" w:type="dxa"/>
              <w:left w:w="100" w:type="dxa"/>
              <w:right w:w="100" w:type="dxa"/>
            </w:tcMar>
          </w:tcPr>
          <w:p>
            <w:r>
              <w:rPr>
                <w:rFonts w:ascii="Arial" w:hAnsi="Arial"/>
                <w:sz w:val="19"/>
              </w:rPr>
              <w:t>376280</w:t>
            </w:r>
          </w:p>
        </w:tc>
      </w:tr>
      <w:tr>
        <w:tc>
          <w:tcPr>
            <w:tcW w:type="dxa" w:w="3168"/>
            <w:shd w:fill="EBF3FA"/>
            <w:tcMar>
              <w:top w:w="80" w:type="dxa"/>
              <w:bottom w:w="80" w:type="dxa"/>
              <w:left w:w="100" w:type="dxa"/>
              <w:right w:w="100" w:type="dxa"/>
            </w:tcMar>
          </w:tcPr>
          <w:p>
            <w:r>
              <w:rPr>
                <w:rFonts w:ascii="Arial" w:hAnsi="Arial"/>
                <w:b/>
                <w:color w:val="102C57"/>
                <w:sz w:val="19"/>
              </w:rPr>
              <w:t>Internship Role</w:t>
            </w:r>
          </w:p>
        </w:tc>
        <w:tc>
          <w:tcPr>
            <w:tcW w:type="dxa" w:w="6192"/>
            <w:shd w:fill="F9FBFD"/>
            <w:tcMar>
              <w:top w:w="80" w:type="dxa"/>
              <w:bottom w:w="80" w:type="dxa"/>
              <w:left w:w="100" w:type="dxa"/>
              <w:right w:w="100" w:type="dxa"/>
            </w:tcMar>
          </w:tcPr>
          <w:p>
            <w:r>
              <w:rPr>
                <w:rFonts w:ascii="Arial" w:hAnsi="Arial"/>
                <w:sz w:val="19"/>
              </w:rPr>
              <w:t>Logistics Data Analyst Intern</w:t>
            </w:r>
          </w:p>
        </w:tc>
      </w:tr>
      <w:tr>
        <w:tc>
          <w:tcPr>
            <w:tcW w:type="dxa" w:w="3168"/>
            <w:shd w:fill="EBF3FA"/>
            <w:tcMar>
              <w:top w:w="80" w:type="dxa"/>
              <w:bottom w:w="80" w:type="dxa"/>
              <w:left w:w="100" w:type="dxa"/>
              <w:right w:w="100" w:type="dxa"/>
            </w:tcMar>
          </w:tcPr>
          <w:p>
            <w:r>
              <w:rPr>
                <w:rFonts w:ascii="Arial" w:hAnsi="Arial"/>
                <w:b/>
                <w:color w:val="102C57"/>
                <w:sz w:val="19"/>
              </w:rPr>
              <w:t>Task Module</w:t>
            </w:r>
          </w:p>
        </w:tc>
        <w:tc>
          <w:tcPr>
            <w:tcW w:type="dxa" w:w="6192"/>
            <w:shd w:fill="F9FBFD"/>
            <w:tcMar>
              <w:top w:w="80" w:type="dxa"/>
              <w:bottom w:w="80" w:type="dxa"/>
              <w:left w:w="100" w:type="dxa"/>
              <w:right w:w="100" w:type="dxa"/>
            </w:tcMar>
          </w:tcPr>
          <w:p>
            <w:r>
              <w:rPr>
                <w:rFonts w:ascii="Arial" w:hAnsi="Arial"/>
                <w:sz w:val="19"/>
              </w:rPr>
              <w:t>Week 2 - Data Preprocessing &amp; Feature Engineering</w:t>
            </w:r>
          </w:p>
        </w:tc>
      </w:tr>
    </w:tbl>
    <w:p>
      <w:pPr>
        <w:spacing w:after="240"/>
      </w:pPr>
    </w:p>
    <w:p>
      <w:pPr>
        <w:spacing w:before="280" w:after="80"/>
      </w:pPr>
      <w:r>
        <w:rPr>
          <w:rFonts w:ascii="Arial" w:hAnsi="Arial"/>
          <w:b/>
          <w:color w:val="102C57"/>
          <w:sz w:val="26"/>
        </w:rPr>
        <w:t>1. Executive Summary &amp; Week 2 Scope</w:t>
      </w:r>
    </w:p>
    <w:p>
      <w:pPr>
        <w:spacing w:line="276" w:lineRule="auto" w:after="120"/>
      </w:pPr>
      <w:r>
        <w:rPr>
          <w:rFonts w:ascii="Calibri" w:hAnsi="Calibri"/>
          <w:sz w:val="22"/>
        </w:rPr>
        <w:t>Data quality in logistics operations directly dictates predictive reliability, cost estimation precision, and customer satisfaction. Real-world enterprise telemetry, warehouse scans, and dispatch logs invariably suffer from missing entries, sensor glitches, irregular string encodings, and temporal ambiguities. The Week 2 module establishes an end-to-end data cleaning and feature engineering pipeline that transforms 5,000 raw shipment records into a production-grade analytical dataset.</w:t>
      </w:r>
    </w:p>
    <w:p>
      <w:pPr>
        <w:spacing w:line="276" w:lineRule="auto" w:after="120"/>
      </w:pPr>
      <w:r>
        <w:rPr>
          <w:rFonts w:ascii="Calibri" w:hAnsi="Calibri"/>
          <w:sz w:val="22"/>
        </w:rPr>
        <w:t>Key accomplishments include imputing 163 missing consignment weights using vehicle-stratified medians, imputing 213 unlogged warehouse dwell durations, detecting and capping 46 severe sensor telemetry spikes via Interquartile Range (IQR) filtering, and synthesizing 9 high-value domain-specific logistics features.</w:t>
      </w:r>
    </w:p>
    <w:p>
      <w:pPr>
        <w:spacing w:before="280" w:after="80"/>
      </w:pPr>
      <w:r>
        <w:rPr>
          <w:rFonts w:ascii="Arial" w:hAnsi="Arial"/>
          <w:b/>
          <w:color w:val="102C57"/>
          <w:sz w:val="26"/>
        </w:rPr>
        <w:t>2. Pre-Cleaning Data Quality Audit</w:t>
      </w:r>
    </w:p>
    <w:p>
      <w:pPr>
        <w:spacing w:line="276" w:lineRule="auto" w:after="120"/>
      </w:pPr>
      <w:r>
        <w:rPr>
          <w:rFonts w:ascii="Calibri" w:hAnsi="Calibri"/>
          <w:sz w:val="22"/>
        </w:rPr>
        <w:t>A rigorous systematic audit was executed on the raw ingestion table to quantify completeness, identify structural irregularities, and isolate statistical anomalies. The results of the initial audit are documented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80" w:type="dxa"/>
              <w:bottom w:w="80" w:type="dxa"/>
              <w:left w:w="100" w:type="dxa"/>
              <w:right w:w="100" w:type="dxa"/>
            </w:tcMar>
          </w:tcPr>
          <w:p>
            <w:r>
              <w:rPr>
                <w:rFonts w:ascii="Arial" w:hAnsi="Arial"/>
                <w:b/>
                <w:color w:val="FFFFFF"/>
                <w:sz w:val="19"/>
              </w:rPr>
              <w:t>Attribute Name</w:t>
            </w:r>
          </w:p>
        </w:tc>
        <w:tc>
          <w:tcPr>
            <w:tcW w:type="dxa" w:w="2340"/>
            <w:shd w:fill="102C57"/>
            <w:tcMar>
              <w:top w:w="80" w:type="dxa"/>
              <w:bottom w:w="80" w:type="dxa"/>
              <w:left w:w="100" w:type="dxa"/>
              <w:right w:w="100" w:type="dxa"/>
            </w:tcMar>
          </w:tcPr>
          <w:p>
            <w:r>
              <w:rPr>
                <w:rFonts w:ascii="Arial" w:hAnsi="Arial"/>
                <w:b/>
                <w:color w:val="FFFFFF"/>
                <w:sz w:val="19"/>
              </w:rPr>
              <w:t>Detected Data Quality Issue</w:t>
            </w:r>
          </w:p>
        </w:tc>
        <w:tc>
          <w:tcPr>
            <w:tcW w:type="dxa" w:w="2340"/>
            <w:shd w:fill="102C57"/>
            <w:tcMar>
              <w:top w:w="80" w:type="dxa"/>
              <w:bottom w:w="80" w:type="dxa"/>
              <w:left w:w="100" w:type="dxa"/>
              <w:right w:w="100" w:type="dxa"/>
            </w:tcMar>
          </w:tcPr>
          <w:p>
            <w:r>
              <w:rPr>
                <w:rFonts w:ascii="Arial" w:hAnsi="Arial"/>
                <w:b/>
                <w:color w:val="FFFFFF"/>
                <w:sz w:val="19"/>
              </w:rPr>
              <w:t>Pre-Cleaning Metric</w:t>
            </w:r>
          </w:p>
        </w:tc>
        <w:tc>
          <w:tcPr>
            <w:tcW w:type="dxa" w:w="2340"/>
            <w:shd w:fill="102C57"/>
            <w:tcMar>
              <w:top w:w="80" w:type="dxa"/>
              <w:bottom w:w="80" w:type="dxa"/>
              <w:left w:w="100" w:type="dxa"/>
              <w:right w:w="100" w:type="dxa"/>
            </w:tcMar>
          </w:tcPr>
          <w:p>
            <w:r>
              <w:rPr>
                <w:rFonts w:ascii="Arial" w:hAnsi="Arial"/>
                <w:b/>
                <w:color w:val="FFFFFF"/>
                <w:sz w:val="19"/>
              </w:rPr>
              <w:t>Remediation Strategy</w:t>
            </w:r>
          </w:p>
        </w:tc>
      </w:tr>
      <w:tr>
        <w:tc>
          <w:tcPr>
            <w:tcW w:type="dxa" w:w="2340"/>
            <w:shd w:fill="FFFFFF"/>
            <w:tcMar>
              <w:top w:w="60" w:type="dxa"/>
              <w:bottom w:w="60" w:type="dxa"/>
              <w:left w:w="100" w:type="dxa"/>
              <w:right w:w="100" w:type="dxa"/>
            </w:tcMar>
          </w:tcPr>
          <w:p>
            <w:r>
              <w:rPr>
                <w:rFonts w:ascii="Calibri" w:hAnsi="Calibri"/>
                <w:b/>
                <w:sz w:val="18"/>
              </w:rPr>
              <w:t>Shipment_Weight_kg</w:t>
            </w:r>
          </w:p>
        </w:tc>
        <w:tc>
          <w:tcPr>
            <w:tcW w:type="dxa" w:w="2340"/>
            <w:shd w:fill="FFFFFF"/>
            <w:tcMar>
              <w:top w:w="60" w:type="dxa"/>
              <w:bottom w:w="60" w:type="dxa"/>
              <w:left w:w="100" w:type="dxa"/>
              <w:right w:w="100" w:type="dxa"/>
            </w:tcMar>
          </w:tcPr>
          <w:p>
            <w:r>
              <w:rPr>
                <w:rFonts w:ascii="Calibri" w:hAnsi="Calibri"/>
                <w:sz w:val="18"/>
              </w:rPr>
              <w:t>Null / Missing Records</w:t>
            </w:r>
          </w:p>
        </w:tc>
        <w:tc>
          <w:tcPr>
            <w:tcW w:type="dxa" w:w="2340"/>
            <w:shd w:fill="FFFFFF"/>
            <w:tcMar>
              <w:top w:w="60" w:type="dxa"/>
              <w:bottom w:w="60" w:type="dxa"/>
              <w:left w:w="100" w:type="dxa"/>
              <w:right w:w="100" w:type="dxa"/>
            </w:tcMar>
          </w:tcPr>
          <w:p>
            <w:r>
              <w:rPr>
                <w:rFonts w:ascii="Calibri" w:hAnsi="Calibri"/>
                <w:sz w:val="18"/>
              </w:rPr>
              <w:t>163 missing (~3.5%)</w:t>
            </w:r>
          </w:p>
        </w:tc>
        <w:tc>
          <w:tcPr>
            <w:tcW w:type="dxa" w:w="2340"/>
            <w:shd w:fill="FFFFFF"/>
            <w:tcMar>
              <w:top w:w="60" w:type="dxa"/>
              <w:bottom w:w="60" w:type="dxa"/>
              <w:left w:w="100" w:type="dxa"/>
              <w:right w:w="100" w:type="dxa"/>
            </w:tcMar>
          </w:tcPr>
          <w:p>
            <w:r>
              <w:rPr>
                <w:rFonts w:ascii="Calibri" w:hAnsi="Calibri"/>
                <w:sz w:val="18"/>
              </w:rPr>
              <w:t>Stratified median imputation by Vehicle_Type</w:t>
            </w:r>
          </w:p>
        </w:tc>
      </w:tr>
      <w:tr>
        <w:tc>
          <w:tcPr>
            <w:tcW w:type="dxa" w:w="2340"/>
            <w:shd w:fill="F4F7FB"/>
            <w:tcMar>
              <w:top w:w="60" w:type="dxa"/>
              <w:bottom w:w="60" w:type="dxa"/>
              <w:left w:w="100" w:type="dxa"/>
              <w:right w:w="100" w:type="dxa"/>
            </w:tcMar>
          </w:tcPr>
          <w:p>
            <w:r>
              <w:rPr>
                <w:rFonts w:ascii="Calibri" w:hAnsi="Calibri"/>
                <w:b/>
                <w:sz w:val="18"/>
              </w:rPr>
              <w:t>Warehouse_Dock_Hours</w:t>
            </w:r>
          </w:p>
        </w:tc>
        <w:tc>
          <w:tcPr>
            <w:tcW w:type="dxa" w:w="2340"/>
            <w:shd w:fill="F4F7FB"/>
            <w:tcMar>
              <w:top w:w="60" w:type="dxa"/>
              <w:bottom w:w="60" w:type="dxa"/>
              <w:left w:w="100" w:type="dxa"/>
              <w:right w:w="100" w:type="dxa"/>
            </w:tcMar>
          </w:tcPr>
          <w:p>
            <w:r>
              <w:rPr>
                <w:rFonts w:ascii="Calibri" w:hAnsi="Calibri"/>
                <w:sz w:val="18"/>
              </w:rPr>
              <w:t>Missing Dwell Scans</w:t>
            </w:r>
          </w:p>
        </w:tc>
        <w:tc>
          <w:tcPr>
            <w:tcW w:type="dxa" w:w="2340"/>
            <w:shd w:fill="F4F7FB"/>
            <w:tcMar>
              <w:top w:w="60" w:type="dxa"/>
              <w:bottom w:w="60" w:type="dxa"/>
              <w:left w:w="100" w:type="dxa"/>
              <w:right w:w="100" w:type="dxa"/>
            </w:tcMar>
          </w:tcPr>
          <w:p>
            <w:r>
              <w:rPr>
                <w:rFonts w:ascii="Calibri" w:hAnsi="Calibri"/>
                <w:sz w:val="18"/>
              </w:rPr>
              <w:t>213 missing (~4.0%)</w:t>
            </w:r>
          </w:p>
        </w:tc>
        <w:tc>
          <w:tcPr>
            <w:tcW w:type="dxa" w:w="2340"/>
            <w:shd w:fill="F4F7FB"/>
            <w:tcMar>
              <w:top w:w="60" w:type="dxa"/>
              <w:bottom w:w="60" w:type="dxa"/>
              <w:left w:w="100" w:type="dxa"/>
              <w:right w:w="100" w:type="dxa"/>
            </w:tcMar>
          </w:tcPr>
          <w:p>
            <w:r>
              <w:rPr>
                <w:rFonts w:ascii="Calibri" w:hAnsi="Calibri"/>
                <w:sz w:val="18"/>
              </w:rPr>
              <w:t>Origin Hub median turnaround imputation</w:t>
            </w:r>
          </w:p>
        </w:tc>
      </w:tr>
      <w:tr>
        <w:tc>
          <w:tcPr>
            <w:tcW w:type="dxa" w:w="2340"/>
            <w:shd w:fill="FFFFFF"/>
            <w:tcMar>
              <w:top w:w="60" w:type="dxa"/>
              <w:bottom w:w="60" w:type="dxa"/>
              <w:left w:w="100" w:type="dxa"/>
              <w:right w:w="100" w:type="dxa"/>
            </w:tcMar>
          </w:tcPr>
          <w:p>
            <w:r>
              <w:rPr>
                <w:rFonts w:ascii="Calibri" w:hAnsi="Calibri"/>
                <w:b/>
                <w:sz w:val="18"/>
              </w:rPr>
              <w:t>Carrier_Name</w:t>
            </w:r>
          </w:p>
        </w:tc>
        <w:tc>
          <w:tcPr>
            <w:tcW w:type="dxa" w:w="2340"/>
            <w:shd w:fill="FFFFFF"/>
            <w:tcMar>
              <w:top w:w="60" w:type="dxa"/>
              <w:bottom w:w="60" w:type="dxa"/>
              <w:left w:w="100" w:type="dxa"/>
              <w:right w:w="100" w:type="dxa"/>
            </w:tcMar>
          </w:tcPr>
          <w:p>
            <w:r>
              <w:rPr>
                <w:rFonts w:ascii="Calibri" w:hAnsi="Calibri"/>
                <w:sz w:val="18"/>
              </w:rPr>
              <w:t>Inconsistent casing &amp; trailing whitespace</w:t>
            </w:r>
          </w:p>
        </w:tc>
        <w:tc>
          <w:tcPr>
            <w:tcW w:type="dxa" w:w="2340"/>
            <w:shd w:fill="FFFFFF"/>
            <w:tcMar>
              <w:top w:w="60" w:type="dxa"/>
              <w:bottom w:w="60" w:type="dxa"/>
              <w:left w:w="100" w:type="dxa"/>
              <w:right w:w="100" w:type="dxa"/>
            </w:tcMar>
          </w:tcPr>
          <w:p>
            <w:r>
              <w:rPr>
                <w:rFonts w:ascii="Calibri" w:hAnsi="Calibri"/>
                <w:sz w:val="18"/>
              </w:rPr>
              <w:t>Irregular formatting across ~3% records</w:t>
            </w:r>
          </w:p>
        </w:tc>
        <w:tc>
          <w:tcPr>
            <w:tcW w:type="dxa" w:w="2340"/>
            <w:shd w:fill="FFFFFF"/>
            <w:tcMar>
              <w:top w:w="60" w:type="dxa"/>
              <w:bottom w:w="60" w:type="dxa"/>
              <w:left w:w="100" w:type="dxa"/>
              <w:right w:w="100" w:type="dxa"/>
            </w:tcMar>
          </w:tcPr>
          <w:p>
            <w:r>
              <w:rPr>
                <w:rFonts w:ascii="Calibri" w:hAnsi="Calibri"/>
                <w:sz w:val="18"/>
              </w:rPr>
              <w:t>Regex string trim and standard title-case mapping</w:t>
            </w:r>
          </w:p>
        </w:tc>
      </w:tr>
      <w:tr>
        <w:tc>
          <w:tcPr>
            <w:tcW w:type="dxa" w:w="2340"/>
            <w:shd w:fill="F4F7FB"/>
            <w:tcMar>
              <w:top w:w="60" w:type="dxa"/>
              <w:bottom w:w="60" w:type="dxa"/>
              <w:left w:w="100" w:type="dxa"/>
              <w:right w:w="100" w:type="dxa"/>
            </w:tcMar>
          </w:tcPr>
          <w:p>
            <w:r>
              <w:rPr>
                <w:rFonts w:ascii="Calibri" w:hAnsi="Calibri"/>
                <w:b/>
                <w:sz w:val="18"/>
              </w:rPr>
              <w:t>Actual_Transit_Hours</w:t>
            </w:r>
          </w:p>
        </w:tc>
        <w:tc>
          <w:tcPr>
            <w:tcW w:type="dxa" w:w="2340"/>
            <w:shd w:fill="F4F7FB"/>
            <w:tcMar>
              <w:top w:w="60" w:type="dxa"/>
              <w:bottom w:w="60" w:type="dxa"/>
              <w:left w:w="100" w:type="dxa"/>
              <w:right w:w="100" w:type="dxa"/>
            </w:tcMar>
          </w:tcPr>
          <w:p>
            <w:r>
              <w:rPr>
                <w:rFonts w:ascii="Calibri" w:hAnsi="Calibri"/>
                <w:sz w:val="18"/>
              </w:rPr>
              <w:t>Sensor glitch / GPS hardware errors</w:t>
            </w:r>
          </w:p>
        </w:tc>
        <w:tc>
          <w:tcPr>
            <w:tcW w:type="dxa" w:w="2340"/>
            <w:shd w:fill="F4F7FB"/>
            <w:tcMar>
              <w:top w:w="60" w:type="dxa"/>
              <w:bottom w:w="60" w:type="dxa"/>
              <w:left w:w="100" w:type="dxa"/>
              <w:right w:w="100" w:type="dxa"/>
            </w:tcMar>
          </w:tcPr>
          <w:p>
            <w:r>
              <w:rPr>
                <w:rFonts w:ascii="Calibri" w:hAnsi="Calibri"/>
                <w:sz w:val="18"/>
              </w:rPr>
              <w:t>46 extreme outliers (10x planned)</w:t>
            </w:r>
          </w:p>
        </w:tc>
        <w:tc>
          <w:tcPr>
            <w:tcW w:type="dxa" w:w="2340"/>
            <w:shd w:fill="F4F7FB"/>
            <w:tcMar>
              <w:top w:w="60" w:type="dxa"/>
              <w:bottom w:w="60" w:type="dxa"/>
              <w:left w:w="100" w:type="dxa"/>
              <w:right w:w="100" w:type="dxa"/>
            </w:tcMar>
          </w:tcPr>
          <w:p>
            <w:r>
              <w:rPr>
                <w:rFonts w:ascii="Calibri" w:hAnsi="Calibri"/>
                <w:sz w:val="18"/>
              </w:rPr>
              <w:t>IQR upper boundary capping (Q3 + 3.0 * IQR)</w:t>
            </w:r>
          </w:p>
        </w:tc>
      </w:tr>
    </w:tbl>
    <w:p>
      <w:pPr>
        <w:spacing w:after="200"/>
      </w:pPr>
    </w:p>
    <w:p>
      <w:pPr>
        <w:spacing w:before="280" w:after="80"/>
      </w:pPr>
      <w:r>
        <w:rPr>
          <w:rFonts w:ascii="Arial" w:hAnsi="Arial"/>
          <w:b/>
          <w:color w:val="102C57"/>
          <w:sz w:val="26"/>
        </w:rPr>
        <w:t>3. Methodological Justification of Cleaning Decisions</w:t>
      </w:r>
    </w:p>
    <w:p>
      <w:pPr>
        <w:spacing w:line="276" w:lineRule="auto" w:after="120"/>
      </w:pPr>
      <w:r>
        <w:rPr>
          <w:rFonts w:ascii="Calibri" w:hAnsi="Calibri"/>
          <w:sz w:val="22"/>
        </w:rPr>
        <w:t>Each data preprocessing decision directly impacts downstream model training and executive reporting. The rationale behind each specific cleaning treatment is outlined below:</w:t>
      </w:r>
    </w:p>
    <w:p>
      <w:pPr>
        <w:pStyle w:val="ListBullet"/>
        <w:spacing w:line="276" w:lineRule="auto" w:after="80"/>
      </w:pPr>
      <w:r>
        <w:rPr>
          <w:rFonts w:ascii="Calibri" w:hAnsi="Calibri"/>
          <w:b/>
          <w:sz w:val="22"/>
        </w:rPr>
        <w:t xml:space="preserve">Vehicle-Stratified Weight Imputation: </w:t>
      </w:r>
      <w:r>
        <w:rPr>
          <w:rFonts w:ascii="Calibri" w:hAnsi="Calibri"/>
          <w:sz w:val="22"/>
        </w:rPr>
        <w:t>Global mean or median imputation would distort payload distributions (e.g., assigning a 10-ton median to an Electric Delivery Van). Grouping by Vehicle_Type ensures imputed weights align with vehicle payload capacities.</w:t>
      </w:r>
    </w:p>
    <w:p>
      <w:pPr>
        <w:pStyle w:val="ListBullet"/>
        <w:spacing w:line="276" w:lineRule="auto" w:after="80"/>
      </w:pPr>
      <w:r>
        <w:rPr>
          <w:rFonts w:ascii="Calibri" w:hAnsi="Calibri"/>
          <w:b/>
          <w:sz w:val="22"/>
        </w:rPr>
        <w:t xml:space="preserve">Hub-Specific Dock Hour Imputation: </w:t>
      </w:r>
      <w:r>
        <w:rPr>
          <w:rFonts w:ascii="Calibri" w:hAnsi="Calibri"/>
          <w:sz w:val="22"/>
        </w:rPr>
        <w:t>Warehouse congestion varies significantly by geography (e.g., high-volume hubs like Mumbai vs. secondary hubs). Median imputation by Origin_City preserves regional operational characteristics.</w:t>
      </w:r>
    </w:p>
    <w:p>
      <w:pPr>
        <w:pStyle w:val="ListBullet"/>
        <w:spacing w:line="276" w:lineRule="auto" w:after="80"/>
      </w:pPr>
      <w:r>
        <w:rPr>
          <w:rFonts w:ascii="Calibri" w:hAnsi="Calibri"/>
          <w:b/>
          <w:sz w:val="22"/>
        </w:rPr>
        <w:t xml:space="preserve">IQR Outlier Capping vs. Row Dropping: </w:t>
      </w:r>
      <w:r>
        <w:rPr>
          <w:rFonts w:ascii="Calibri" w:hAnsi="Calibri"/>
          <w:sz w:val="22"/>
        </w:rPr>
        <w:t>Sensor glitches represented genuine shipment dispatches with valid commercial attributes. Rather than dropping valid revenue-generating records, capping transit durations at Q3 + 3.0 * IQR preserves dataset sample size while eliminating gradient distortion during model training.</w:t>
      </w:r>
    </w:p>
    <w:p>
      <w:pPr>
        <w:spacing w:before="280" w:after="80"/>
      </w:pPr>
      <w:r>
        <w:rPr>
          <w:rFonts w:ascii="Arial" w:hAnsi="Arial"/>
          <w:b/>
          <w:color w:val="102C57"/>
          <w:sz w:val="26"/>
        </w:rPr>
        <w:t>4. Domain-Specific Feature Engineering</w:t>
      </w:r>
    </w:p>
    <w:p>
      <w:pPr>
        <w:spacing w:line="276" w:lineRule="auto" w:after="120"/>
      </w:pPr>
      <w:r>
        <w:rPr>
          <w:rFonts w:ascii="Calibri" w:hAnsi="Calibri"/>
          <w:sz w:val="22"/>
        </w:rPr>
        <w:t>Raw timestamp and dimensional attributes were enriched with high-leverage supply chain features:</w:t>
      </w:r>
    </w:p>
    <w:p>
      <w:pPr>
        <w:pStyle w:val="ListBullet"/>
        <w:spacing w:line="276" w:lineRule="auto" w:after="80"/>
      </w:pPr>
      <w:r>
        <w:rPr>
          <w:rFonts w:ascii="Calibri" w:hAnsi="Calibri"/>
          <w:b/>
          <w:sz w:val="22"/>
        </w:rPr>
        <w:t xml:space="preserve">Dispatch Temporal Windows: </w:t>
      </w:r>
      <w:r>
        <w:rPr>
          <w:rFonts w:ascii="Calibri" w:hAnsi="Calibri"/>
          <w:sz w:val="22"/>
        </w:rPr>
        <w:t>Extracted Dispatch_Hour, Dispatch_DayOfWeek, Is_Weekend, and Is_Rush_Hour (08:00-11:00 and 17:00-21:00) to capture intra-day urban traffic bottlenecks.</w:t>
      </w:r>
    </w:p>
    <w:p>
      <w:pPr>
        <w:pStyle w:val="ListBullet"/>
        <w:spacing w:line="276" w:lineRule="auto" w:after="80"/>
      </w:pPr>
      <w:r>
        <w:rPr>
          <w:rFonts w:ascii="Calibri" w:hAnsi="Calibri"/>
          <w:b/>
          <w:sz w:val="22"/>
        </w:rPr>
        <w:t xml:space="preserve">Corridor Identification (Route_Code): </w:t>
      </w:r>
      <w:r>
        <w:rPr>
          <w:rFonts w:ascii="Calibri" w:hAnsi="Calibri"/>
          <w:sz w:val="22"/>
        </w:rPr>
        <w:t>Concatenated Origin and Destination cities to allow corridor-level variance analysis and lane-specific pricing models.</w:t>
      </w:r>
    </w:p>
    <w:p>
      <w:pPr>
        <w:pStyle w:val="ListBullet"/>
        <w:spacing w:line="276" w:lineRule="auto" w:after="80"/>
      </w:pPr>
      <w:r>
        <w:rPr>
          <w:rFonts w:ascii="Calibri" w:hAnsi="Calibri"/>
          <w:b/>
          <w:sz w:val="22"/>
        </w:rPr>
        <w:t xml:space="preserve">Normalized Efficiency Metrics: </w:t>
      </w:r>
      <w:r>
        <w:rPr>
          <w:rFonts w:ascii="Calibri" w:hAnsi="Calibri"/>
          <w:sz w:val="22"/>
        </w:rPr>
        <w:t>Engineered Cost_Per_Km, Cost_Per_Ton_Km, and Calculated_Speed_kmh to evaluate fleet efficiency across varying payload weights and distances.</w:t>
      </w:r>
    </w:p>
    <w:p>
      <w:pPr>
        <w:spacing w:before="280" w:after="80"/>
      </w:pPr>
      <w:r>
        <w:rPr>
          <w:rFonts w:ascii="Arial" w:hAnsi="Arial"/>
          <w:b/>
          <w:color w:val="102C57"/>
          <w:sz w:val="26"/>
        </w:rPr>
        <w:t>5. Production Python Preprocessing Pipeline Code</w:t>
      </w:r>
    </w:p>
    <w:p>
      <w:pPr>
        <w:spacing w:line="276" w:lineRule="auto" w:after="120"/>
      </w:pPr>
      <w:r>
        <w:rPr>
          <w:rFonts w:ascii="Calibri" w:hAnsi="Calibri"/>
          <w:sz w:val="22"/>
        </w:rPr>
        <w:t>The verified Python script executed to clean and prepare the dataset is documented below:</w:t>
      </w:r>
    </w:p>
    <w:p>
      <w:pPr>
        <w:spacing w:line="240" w:lineRule="auto" w:before="80" w:after="160"/>
      </w:pPr>
      <w:r>
        <w:rPr>
          <w:rFonts w:ascii="Courier New" w:hAnsi="Courier New"/>
          <w:color w:val="1E1E1E"/>
          <w:sz w:val="17"/>
        </w:rPr>
        <w:t>import pandas as pd</w:t>
        <w:br/>
        <w:t>import numpy as np</w:t>
        <w:br/>
        <w:br/>
        <w:t># 1. Load raw dataset &amp; normalize string entities</w:t>
        <w:br/>
        <w:t>df = pd.read_csv('data/raw_logistics_data.csv')</w:t>
        <w:br/>
        <w:t>df['Carrier_Name'] = df['Carrier_Name'].str.strip().str.title()</w:t>
        <w:br/>
        <w:br/>
        <w:t># 2. Stratified Imputation</w:t>
        <w:br/>
        <w:t>veh_weight_medians = df.groupby('Vehicle_Type')['Shipment_Weight_kg'].median()</w:t>
        <w:br/>
        <w:t>df['Shipment_Weight_kg'] = df.apply(</w:t>
        <w:br/>
        <w:t xml:space="preserve">    lambda r: veh_weight_medians[r['Vehicle_Type']] if pd.isnull(r['Shipment_Weight_kg']) else r['Shipment_Weight_kg'], axis=1</w:t>
        <w:br/>
        <w:t>)</w:t>
        <w:br/>
        <w:t>city_dock_medians = df.groupby('Origin_City')['Warehouse_Dock_Hours'].median()</w:t>
        <w:br/>
        <w:t>df['Warehouse_Dock_Hours'] = df.apply(</w:t>
        <w:br/>
        <w:t xml:space="preserve">    lambda r: city_dock_medians[r['Origin_City']] if pd.isnull(r['Warehouse_Dock_Hours']) else r['Warehouse_Dock_Hours'], axis=1</w:t>
        <w:br/>
        <w:t>)</w:t>
        <w:br/>
        <w:br/>
        <w:t># 3. IQR Outlier Treatment</w:t>
        <w:br/>
        <w:t>q1, q3 = df['Actual_Transit_Hours'].quantile(0.25), df['Actual_Transit_Hours'].quantile(0.75)</w:t>
        <w:br/>
        <w:t>iqr = q3 - q1</w:t>
        <w:br/>
        <w:t>upper_cap = q3 + 3.0 * iqr</w:t>
        <w:br/>
        <w:t>df['Actual_Transit_Hours'] = np.where(df['Actual_Transit_Hours'] &gt; upper_cap, upper_cap, df['Actual_Transit_Hours'])</w:t>
        <w:br/>
        <w:br/>
        <w:t># 4. Feature Engineering</w:t>
        <w:br/>
        <w:t>df['Dispatch_Timestamp'] = pd.to_datetime(df['Dispatch_Timestamp'])</w:t>
        <w:br/>
        <w:t>df['Dispatch_Hour'] = df['Dispatch_Timestamp'].dt.hour</w:t>
        <w:br/>
        <w:t>df['Is_Rush_Hour'] = df['Dispatch_Hour'].isin([8, 9, 10, 17, 18, 19, 20]).astype(int)</w:t>
        <w:br/>
        <w:t>df['Cost_Per_Ton_Km'] = df['Shipping_Cost_INR'] / ((df['Shipment_Weight_kg']/1000) * df['Distance_km'])</w:t>
        <w:br/>
      </w:r>
    </w:p>
    <w:p>
      <w:pPr>
        <w:spacing w:before="280" w:after="80"/>
      </w:pPr>
      <w:r>
        <w:rPr>
          <w:rFonts w:ascii="Arial" w:hAnsi="Arial"/>
          <w:b/>
          <w:color w:val="102C57"/>
          <w:sz w:val="26"/>
        </w:rPr>
        <w:t>6. Reflection: The Business &amp; Operational Cost of Dirty Logistics Data</w:t>
      </w:r>
    </w:p>
    <w:p>
      <w:pPr>
        <w:spacing w:line="276" w:lineRule="auto" w:after="120"/>
      </w:pPr>
      <w:r>
        <w:rPr>
          <w:rFonts w:ascii="Calibri" w:hAnsi="Calibri"/>
          <w:sz w:val="22"/>
        </w:rPr>
        <w:t>Dirty data in logistics environments creates catastrophic cascading failures. Uncleaned telematics logs generate false delay alarms, triggering unnecessary driver re-routings and customer compensation payouts. Missing weight entries undermine dynamic axle-load balancing and violate road transport regulatory weight restrictions, risking heavy fines and vehicular downtime. By enforcing deterministic cleaning and stratified imputation, the organization secures dependable input vectors for predictive machine learning in Week 4 and ensures customer SLA accountability.</w:t>
      </w:r>
    </w:p>
    <w:p>
      <w:pPr>
        <w:spacing w:before="280" w:after="80"/>
      </w:pPr>
      <w:r>
        <w:rPr>
          <w:rFonts w:ascii="Arial" w:hAnsi="Arial"/>
          <w:b/>
          <w:color w:val="102C57"/>
          <w:sz w:val="26"/>
        </w:rPr>
        <w:t>7. Transition into Week 3 Milestones</w:t>
      </w:r>
    </w:p>
    <w:p>
      <w:pPr>
        <w:spacing w:line="276" w:lineRule="auto" w:after="120"/>
      </w:pPr>
      <w:r>
        <w:rPr>
          <w:rFonts w:ascii="Calibri" w:hAnsi="Calibri"/>
          <w:sz w:val="22"/>
        </w:rPr>
        <w:t>With data cleaning and transformation complete, the sanitized dataset (cleaned_logistics_data.csv) serves as the trusted baseline for Week 3: Advanced Data Analysis and Visualization. Week 3 will conduct exploratory statistical testing, carrier benchmarking boxplots, corridor delay heatmaps, and geospatial routing diagnostics.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