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02C57"/>
          <w:sz w:val="44"/>
        </w:rPr>
        <w:t>LOGISTICS DATA ANALYST INTERNSHIP</w:t>
        <w:br/>
        <w:t>WEEK 4 TECHNICAL REPORT</w:t>
      </w:r>
    </w:p>
    <w:p>
      <w:pPr>
        <w:jc w:val="center"/>
      </w:pPr>
      <w:r>
        <w:rPr>
          <w:rFonts w:ascii="Arial" w:hAnsi="Arial"/>
          <w:i/>
          <w:color w:val="35598F"/>
          <w:sz w:val="28"/>
        </w:rPr>
        <w:t>Predictive Modeling, Delay Forecasting &amp; Prescriptive Optimization in Logistics Systems</w:t>
      </w:r>
    </w:p>
    <w:tbl>
      <w:tblPr>
        <w:tblW w:type="auto" w:w="0"/>
        <w:jc w:val="center"/>
        <w:tblLook w:firstColumn="1" w:firstRow="1" w:lastColumn="0" w:lastRow="0" w:noHBand="0" w:noVBand="1" w:val="04A0"/>
      </w:tblPr>
      <w:tblGrid>
        <w:gridCol w:w="4680"/>
        <w:gridCol w:w="4680"/>
      </w:tblGrid>
      <w:tr>
        <w:tc>
          <w:tcPr>
            <w:tcW w:type="dxa" w:w="3168"/>
            <w:shd w:fill="EBF3FA"/>
            <w:tcMar>
              <w:top w:w="80" w:type="dxa"/>
              <w:bottom w:w="80" w:type="dxa"/>
              <w:left w:w="100" w:type="dxa"/>
              <w:right w:w="100" w:type="dxa"/>
            </w:tcMar>
          </w:tcPr>
          <w:p>
            <w:r>
              <w:rPr>
                <w:rFonts w:ascii="Arial" w:hAnsi="Arial"/>
                <w:b/>
                <w:color w:val="102C57"/>
                <w:sz w:val="19"/>
              </w:rPr>
              <w:t>Candidate Name</w:t>
            </w:r>
          </w:p>
        </w:tc>
        <w:tc>
          <w:tcPr>
            <w:tcW w:type="dxa" w:w="6192"/>
            <w:shd w:fill="F9FBFD"/>
            <w:tcMar>
              <w:top w:w="80" w:type="dxa"/>
              <w:bottom w:w="80" w:type="dxa"/>
              <w:left w:w="100" w:type="dxa"/>
              <w:right w:w="100" w:type="dxa"/>
            </w:tcMar>
          </w:tcPr>
          <w:p>
            <w:r>
              <w:rPr>
                <w:rFonts w:ascii="Arial" w:hAnsi="Arial"/>
                <w:sz w:val="19"/>
              </w:rPr>
              <w:t>Pratham Sharma (prathamsharma1239@gmail.com)</w:t>
            </w:r>
          </w:p>
        </w:tc>
      </w:tr>
      <w:tr>
        <w:tc>
          <w:tcPr>
            <w:tcW w:type="dxa" w:w="3168"/>
            <w:shd w:fill="EBF3FA"/>
            <w:tcMar>
              <w:top w:w="80" w:type="dxa"/>
              <w:bottom w:w="80" w:type="dxa"/>
              <w:left w:w="100" w:type="dxa"/>
              <w:right w:w="100" w:type="dxa"/>
            </w:tcMar>
          </w:tcPr>
          <w:p>
            <w:r>
              <w:rPr>
                <w:rFonts w:ascii="Arial" w:hAnsi="Arial"/>
                <w:b/>
                <w:color w:val="102C57"/>
                <w:sz w:val="19"/>
              </w:rPr>
              <w:t>Enrollment ID</w:t>
            </w:r>
          </w:p>
        </w:tc>
        <w:tc>
          <w:tcPr>
            <w:tcW w:type="dxa" w:w="6192"/>
            <w:shd w:fill="F9FBFD"/>
            <w:tcMar>
              <w:top w:w="80" w:type="dxa"/>
              <w:bottom w:w="80" w:type="dxa"/>
              <w:left w:w="100" w:type="dxa"/>
              <w:right w:w="100" w:type="dxa"/>
            </w:tcMar>
          </w:tcPr>
          <w:p>
            <w:r>
              <w:rPr>
                <w:rFonts w:ascii="Arial" w:hAnsi="Arial"/>
                <w:sz w:val="19"/>
              </w:rPr>
              <w:t>376280</w:t>
            </w:r>
          </w:p>
        </w:tc>
      </w:tr>
      <w:tr>
        <w:tc>
          <w:tcPr>
            <w:tcW w:type="dxa" w:w="3168"/>
            <w:shd w:fill="EBF3FA"/>
            <w:tcMar>
              <w:top w:w="80" w:type="dxa"/>
              <w:bottom w:w="80" w:type="dxa"/>
              <w:left w:w="100" w:type="dxa"/>
              <w:right w:w="100" w:type="dxa"/>
            </w:tcMar>
          </w:tcPr>
          <w:p>
            <w:r>
              <w:rPr>
                <w:rFonts w:ascii="Arial" w:hAnsi="Arial"/>
                <w:b/>
                <w:color w:val="102C57"/>
                <w:sz w:val="19"/>
              </w:rPr>
              <w:t>Internship Role</w:t>
            </w:r>
          </w:p>
        </w:tc>
        <w:tc>
          <w:tcPr>
            <w:tcW w:type="dxa" w:w="6192"/>
            <w:shd w:fill="F9FBFD"/>
            <w:tcMar>
              <w:top w:w="80" w:type="dxa"/>
              <w:bottom w:w="80" w:type="dxa"/>
              <w:left w:w="100" w:type="dxa"/>
              <w:right w:w="100" w:type="dxa"/>
            </w:tcMar>
          </w:tcPr>
          <w:p>
            <w:r>
              <w:rPr>
                <w:rFonts w:ascii="Arial" w:hAnsi="Arial"/>
                <w:sz w:val="19"/>
              </w:rPr>
              <w:t>Logistics Data Analyst Intern</w:t>
            </w:r>
          </w:p>
        </w:tc>
      </w:tr>
      <w:tr>
        <w:tc>
          <w:tcPr>
            <w:tcW w:type="dxa" w:w="3168"/>
            <w:shd w:fill="EBF3FA"/>
            <w:tcMar>
              <w:top w:w="80" w:type="dxa"/>
              <w:bottom w:w="80" w:type="dxa"/>
              <w:left w:w="100" w:type="dxa"/>
              <w:right w:w="100" w:type="dxa"/>
            </w:tcMar>
          </w:tcPr>
          <w:p>
            <w:r>
              <w:rPr>
                <w:rFonts w:ascii="Arial" w:hAnsi="Arial"/>
                <w:b/>
                <w:color w:val="102C57"/>
                <w:sz w:val="19"/>
              </w:rPr>
              <w:t>Task Module</w:t>
            </w:r>
          </w:p>
        </w:tc>
        <w:tc>
          <w:tcPr>
            <w:tcW w:type="dxa" w:w="6192"/>
            <w:shd w:fill="F9FBFD"/>
            <w:tcMar>
              <w:top w:w="80" w:type="dxa"/>
              <w:bottom w:w="80" w:type="dxa"/>
              <w:left w:w="100" w:type="dxa"/>
              <w:right w:w="100" w:type="dxa"/>
            </w:tcMar>
          </w:tcPr>
          <w:p>
            <w:r>
              <w:rPr>
                <w:rFonts w:ascii="Arial" w:hAnsi="Arial"/>
                <w:sz w:val="19"/>
              </w:rPr>
              <w:t>Week 4 - Machine Learning &amp; Optimization</w:t>
            </w:r>
          </w:p>
        </w:tc>
      </w:tr>
    </w:tbl>
    <w:p>
      <w:pPr>
        <w:spacing w:after="240"/>
      </w:pPr>
    </w:p>
    <w:p>
      <w:pPr>
        <w:spacing w:before="280" w:after="80"/>
      </w:pPr>
      <w:r>
        <w:rPr>
          <w:rFonts w:ascii="Arial" w:hAnsi="Arial"/>
          <w:b/>
          <w:color w:val="102C57"/>
          <w:sz w:val="26"/>
        </w:rPr>
        <w:t>1. Executive Summary &amp; Week 4 Objectives</w:t>
      </w:r>
    </w:p>
    <w:p>
      <w:pPr>
        <w:spacing w:line="276" w:lineRule="auto" w:after="120"/>
      </w:pPr>
      <w:r>
        <w:rPr>
          <w:rFonts w:ascii="Calibri" w:hAnsi="Calibri"/>
          <w:sz w:val="22"/>
        </w:rPr>
        <w:t>Transitioning from descriptive analytics to predictive and prescriptive intelligence represents the pinnacle of modern supply chain engineering. The Week 4 module formulates, trains, validates, and compares predictive machine learning models across two complementary tasks: (1) continuous delay duration forecasting (Regression) to dynamically adjust Estimated Times of Arrival (ETAs), and (2) binary late delivery risk classification to trigger proactive dispatch interventions. Models were rigorously evaluated using 5-fold cross-validation and out-of-sample test splits.</w:t>
      </w:r>
    </w:p>
    <w:p>
      <w:pPr>
        <w:spacing w:before="280" w:after="80"/>
      </w:pPr>
      <w:r>
        <w:rPr>
          <w:rFonts w:ascii="Arial" w:hAnsi="Arial"/>
          <w:b/>
          <w:color w:val="102C57"/>
          <w:sz w:val="26"/>
        </w:rPr>
        <w:t>2. Continuous Delay Forecasting: Regression Model Comparison</w:t>
      </w:r>
    </w:p>
    <w:p>
      <w:pPr>
        <w:spacing w:line="276" w:lineRule="auto" w:after="120"/>
      </w:pPr>
      <w:r>
        <w:rPr>
          <w:rFonts w:ascii="Calibri" w:hAnsi="Calibri"/>
          <w:sz w:val="22"/>
        </w:rPr>
        <w:t>Three distinct architectures were evaluated: a regularized linear model (Ridge Regression), an ensemble bagging model (Random Forest Regressor), and a sequential boosting model (Gradient Boosting Regressor). The evaluation metrics across Mean Absolute Error (MAE), Root Mean Squared Error (RMSE), and the Coefficient of Determination (R²) are presented below:</w:t>
      </w:r>
    </w:p>
    <w:tbl>
      <w:tblPr>
        <w:tblW w:type="auto" w:w="0"/>
        <w:jc w:val="center"/>
        <w:tblLook w:firstColumn="1" w:firstRow="1" w:lastColumn="0" w:lastRow="0" w:noHBand="0" w:noVBand="1" w:val="04A0"/>
      </w:tblPr>
      <w:tblGrid>
        <w:gridCol w:w="2340"/>
        <w:gridCol w:w="2340"/>
        <w:gridCol w:w="2340"/>
        <w:gridCol w:w="2340"/>
      </w:tblGrid>
      <w:tr>
        <w:tc>
          <w:tcPr>
            <w:tcW w:type="dxa" w:w="2340"/>
            <w:shd w:fill="102C57"/>
            <w:tcMar>
              <w:top w:w="80" w:type="dxa"/>
              <w:bottom w:w="80" w:type="dxa"/>
              <w:left w:w="80" w:type="dxa"/>
              <w:right w:w="80" w:type="dxa"/>
            </w:tcMar>
          </w:tcPr>
          <w:p>
            <w:r>
              <w:rPr>
                <w:rFonts w:ascii="Arial" w:hAnsi="Arial"/>
                <w:b/>
                <w:color w:val="FFFFFF"/>
                <w:sz w:val="18"/>
              </w:rPr>
              <w:t>Model Architecture</w:t>
            </w:r>
          </w:p>
        </w:tc>
        <w:tc>
          <w:tcPr>
            <w:tcW w:type="dxa" w:w="2340"/>
            <w:shd w:fill="102C57"/>
            <w:tcMar>
              <w:top w:w="80" w:type="dxa"/>
              <w:bottom w:w="80" w:type="dxa"/>
              <w:left w:w="80" w:type="dxa"/>
              <w:right w:w="80" w:type="dxa"/>
            </w:tcMar>
          </w:tcPr>
          <w:p>
            <w:r>
              <w:rPr>
                <w:rFonts w:ascii="Arial" w:hAnsi="Arial"/>
                <w:b/>
                <w:color w:val="FFFFFF"/>
                <w:sz w:val="18"/>
              </w:rPr>
              <w:t>Mean Absolute Error (MAE)</w:t>
            </w:r>
          </w:p>
        </w:tc>
        <w:tc>
          <w:tcPr>
            <w:tcW w:type="dxa" w:w="2340"/>
            <w:shd w:fill="102C57"/>
            <w:tcMar>
              <w:top w:w="80" w:type="dxa"/>
              <w:bottom w:w="80" w:type="dxa"/>
              <w:left w:w="80" w:type="dxa"/>
              <w:right w:w="80" w:type="dxa"/>
            </w:tcMar>
          </w:tcPr>
          <w:p>
            <w:r>
              <w:rPr>
                <w:rFonts w:ascii="Arial" w:hAnsi="Arial"/>
                <w:b/>
                <w:color w:val="FFFFFF"/>
                <w:sz w:val="18"/>
              </w:rPr>
              <w:t>Root Mean Squared Error (RMSE)</w:t>
            </w:r>
          </w:p>
        </w:tc>
        <w:tc>
          <w:tcPr>
            <w:tcW w:type="dxa" w:w="2340"/>
            <w:shd w:fill="102C57"/>
            <w:tcMar>
              <w:top w:w="80" w:type="dxa"/>
              <w:bottom w:w="80" w:type="dxa"/>
              <w:left w:w="80" w:type="dxa"/>
              <w:right w:w="80" w:type="dxa"/>
            </w:tcMar>
          </w:tcPr>
          <w:p>
            <w:r>
              <w:rPr>
                <w:rFonts w:ascii="Arial" w:hAnsi="Arial"/>
                <w:b/>
                <w:color w:val="FFFFFF"/>
                <w:sz w:val="18"/>
              </w:rPr>
              <w:t>R² Score</w:t>
            </w:r>
          </w:p>
        </w:tc>
      </w:tr>
      <w:tr>
        <w:tc>
          <w:tcPr>
            <w:tcW w:type="dxa" w:w="2340"/>
            <w:shd w:fill="FFFFFF"/>
            <w:tcMar>
              <w:top w:w="60" w:type="dxa"/>
              <w:bottom w:w="60" w:type="dxa"/>
              <w:left w:w="80" w:type="dxa"/>
              <w:right w:w="80" w:type="dxa"/>
            </w:tcMar>
          </w:tcPr>
          <w:p>
            <w:r>
              <w:rPr>
                <w:rFonts w:ascii="Calibri" w:hAnsi="Calibri"/>
                <w:b/>
                <w:sz w:val="18"/>
              </w:rPr>
              <w:t>Ridge Regression</w:t>
            </w:r>
          </w:p>
        </w:tc>
        <w:tc>
          <w:tcPr>
            <w:tcW w:type="dxa" w:w="2340"/>
            <w:shd w:fill="FFFFFF"/>
            <w:tcMar>
              <w:top w:w="60" w:type="dxa"/>
              <w:bottom w:w="60" w:type="dxa"/>
              <w:left w:w="80" w:type="dxa"/>
              <w:right w:w="80" w:type="dxa"/>
            </w:tcMar>
          </w:tcPr>
          <w:p>
            <w:r>
              <w:rPr>
                <w:rFonts w:ascii="Calibri" w:hAnsi="Calibri"/>
                <w:sz w:val="18"/>
              </w:rPr>
              <w:t>2.763 hrs</w:t>
            </w:r>
          </w:p>
        </w:tc>
        <w:tc>
          <w:tcPr>
            <w:tcW w:type="dxa" w:w="2340"/>
            <w:shd w:fill="FFFFFF"/>
            <w:tcMar>
              <w:top w:w="60" w:type="dxa"/>
              <w:bottom w:w="60" w:type="dxa"/>
              <w:left w:w="80" w:type="dxa"/>
              <w:right w:w="80" w:type="dxa"/>
            </w:tcMar>
          </w:tcPr>
          <w:p>
            <w:r>
              <w:rPr>
                <w:rFonts w:ascii="Calibri" w:hAnsi="Calibri"/>
                <w:sz w:val="18"/>
              </w:rPr>
              <w:t>9.100 hrs</w:t>
            </w:r>
          </w:p>
        </w:tc>
        <w:tc>
          <w:tcPr>
            <w:tcW w:type="dxa" w:w="2340"/>
            <w:shd w:fill="FFFFFF"/>
            <w:tcMar>
              <w:top w:w="60" w:type="dxa"/>
              <w:bottom w:w="60" w:type="dxa"/>
              <w:left w:w="80" w:type="dxa"/>
              <w:right w:w="80" w:type="dxa"/>
            </w:tcMar>
          </w:tcPr>
          <w:p>
            <w:r>
              <w:rPr>
                <w:rFonts w:ascii="Calibri" w:hAnsi="Calibri"/>
                <w:sz w:val="18"/>
              </w:rPr>
              <w:t>0.060</w:t>
            </w:r>
          </w:p>
        </w:tc>
      </w:tr>
      <w:tr>
        <w:tc>
          <w:tcPr>
            <w:tcW w:type="dxa" w:w="2340"/>
            <w:shd w:fill="F4F7FB"/>
            <w:tcMar>
              <w:top w:w="60" w:type="dxa"/>
              <w:bottom w:w="60" w:type="dxa"/>
              <w:left w:w="80" w:type="dxa"/>
              <w:right w:w="80" w:type="dxa"/>
            </w:tcMar>
          </w:tcPr>
          <w:p>
            <w:r>
              <w:rPr>
                <w:rFonts w:ascii="Calibri" w:hAnsi="Calibri"/>
                <w:b/>
                <w:sz w:val="18"/>
              </w:rPr>
              <w:t>Random Forest Regressor</w:t>
            </w:r>
          </w:p>
        </w:tc>
        <w:tc>
          <w:tcPr>
            <w:tcW w:type="dxa" w:w="2340"/>
            <w:shd w:fill="F4F7FB"/>
            <w:tcMar>
              <w:top w:w="60" w:type="dxa"/>
              <w:bottom w:w="60" w:type="dxa"/>
              <w:left w:w="80" w:type="dxa"/>
              <w:right w:w="80" w:type="dxa"/>
            </w:tcMar>
          </w:tcPr>
          <w:p>
            <w:r>
              <w:rPr>
                <w:rFonts w:ascii="Calibri" w:hAnsi="Calibri"/>
                <w:sz w:val="18"/>
              </w:rPr>
              <w:t>3.116 hrs</w:t>
            </w:r>
          </w:p>
        </w:tc>
        <w:tc>
          <w:tcPr>
            <w:tcW w:type="dxa" w:w="2340"/>
            <w:shd w:fill="F4F7FB"/>
            <w:tcMar>
              <w:top w:w="60" w:type="dxa"/>
              <w:bottom w:w="60" w:type="dxa"/>
              <w:left w:w="80" w:type="dxa"/>
              <w:right w:w="80" w:type="dxa"/>
            </w:tcMar>
          </w:tcPr>
          <w:p>
            <w:r>
              <w:rPr>
                <w:rFonts w:ascii="Calibri" w:hAnsi="Calibri"/>
                <w:sz w:val="18"/>
              </w:rPr>
              <w:t>9.252 hrs</w:t>
            </w:r>
          </w:p>
        </w:tc>
        <w:tc>
          <w:tcPr>
            <w:tcW w:type="dxa" w:w="2340"/>
            <w:shd w:fill="F4F7FB"/>
            <w:tcMar>
              <w:top w:w="60" w:type="dxa"/>
              <w:bottom w:w="60" w:type="dxa"/>
              <w:left w:w="80" w:type="dxa"/>
              <w:right w:w="80" w:type="dxa"/>
            </w:tcMar>
          </w:tcPr>
          <w:p>
            <w:r>
              <w:rPr>
                <w:rFonts w:ascii="Calibri" w:hAnsi="Calibri"/>
                <w:sz w:val="18"/>
              </w:rPr>
              <w:t>0.029</w:t>
            </w:r>
          </w:p>
        </w:tc>
      </w:tr>
      <w:tr>
        <w:tc>
          <w:tcPr>
            <w:tcW w:type="dxa" w:w="2340"/>
            <w:shd w:fill="FFFFFF"/>
            <w:tcMar>
              <w:top w:w="60" w:type="dxa"/>
              <w:bottom w:w="60" w:type="dxa"/>
              <w:left w:w="80" w:type="dxa"/>
              <w:right w:w="80" w:type="dxa"/>
            </w:tcMar>
          </w:tcPr>
          <w:p>
            <w:r>
              <w:rPr>
                <w:rFonts w:ascii="Calibri" w:hAnsi="Calibri"/>
                <w:b/>
                <w:sz w:val="18"/>
              </w:rPr>
              <w:t>Gradient Boosting Regressor</w:t>
            </w:r>
          </w:p>
        </w:tc>
        <w:tc>
          <w:tcPr>
            <w:tcW w:type="dxa" w:w="2340"/>
            <w:shd w:fill="FFFFFF"/>
            <w:tcMar>
              <w:top w:w="60" w:type="dxa"/>
              <w:bottom w:w="60" w:type="dxa"/>
              <w:left w:w="80" w:type="dxa"/>
              <w:right w:w="80" w:type="dxa"/>
            </w:tcMar>
          </w:tcPr>
          <w:p>
            <w:r>
              <w:rPr>
                <w:rFonts w:ascii="Calibri" w:hAnsi="Calibri"/>
                <w:sz w:val="18"/>
              </w:rPr>
              <w:t>3.076 hrs</w:t>
            </w:r>
          </w:p>
        </w:tc>
        <w:tc>
          <w:tcPr>
            <w:tcW w:type="dxa" w:w="2340"/>
            <w:shd w:fill="FFFFFF"/>
            <w:tcMar>
              <w:top w:w="60" w:type="dxa"/>
              <w:bottom w:w="60" w:type="dxa"/>
              <w:left w:w="80" w:type="dxa"/>
              <w:right w:w="80" w:type="dxa"/>
            </w:tcMar>
          </w:tcPr>
          <w:p>
            <w:r>
              <w:rPr>
                <w:rFonts w:ascii="Calibri" w:hAnsi="Calibri"/>
                <w:sz w:val="18"/>
              </w:rPr>
              <w:t>9.407 hrs</w:t>
            </w:r>
          </w:p>
        </w:tc>
        <w:tc>
          <w:tcPr>
            <w:tcW w:type="dxa" w:w="2340"/>
            <w:shd w:fill="FFFFFF"/>
            <w:tcMar>
              <w:top w:w="60" w:type="dxa"/>
              <w:bottom w:w="60" w:type="dxa"/>
              <w:left w:w="80" w:type="dxa"/>
              <w:right w:w="80" w:type="dxa"/>
            </w:tcMar>
          </w:tcPr>
          <w:p>
            <w:r>
              <w:rPr>
                <w:rFonts w:ascii="Calibri" w:hAnsi="Calibri"/>
                <w:sz w:val="18"/>
              </w:rPr>
              <w:t>-0.004</w:t>
            </w:r>
          </w:p>
        </w:tc>
      </w:tr>
    </w:tbl>
    <w:p>
      <w:pPr>
        <w:spacing w:after="200"/>
      </w:pPr>
    </w:p>
    <w:p>
      <w:pPr>
        <w:spacing w:before="280" w:after="80"/>
      </w:pPr>
      <w:r>
        <w:rPr>
          <w:rFonts w:ascii="Arial" w:hAnsi="Arial"/>
          <w:b/>
          <w:color w:val="102C57"/>
          <w:sz w:val="26"/>
        </w:rPr>
        <w:t>3. Model Validation &amp; Residual Parity Analysis</w:t>
      </w:r>
    </w:p>
    <w:p>
      <w:r>
        <w:drawing>
          <wp:inline xmlns:a="http://schemas.openxmlformats.org/drawingml/2006/main" xmlns:pic="http://schemas.openxmlformats.org/drawingml/2006/picture">
            <wp:extent cx="5029200" cy="3592286"/>
            <wp:docPr id="1" name="Picture 1"/>
            <wp:cNvGraphicFramePr>
              <a:graphicFrameLocks noChangeAspect="1"/>
            </wp:cNvGraphicFramePr>
            <a:graphic>
              <a:graphicData uri="http://schemas.openxmlformats.org/drawingml/2006/picture">
                <pic:pic>
                  <pic:nvPicPr>
                    <pic:cNvPr id="0" name="fig8_actual_vs_predicted.png"/>
                    <pic:cNvPicPr/>
                  </pic:nvPicPr>
                  <pic:blipFill>
                    <a:blip r:embed="rId9"/>
                    <a:stretch>
                      <a:fillRect/>
                    </a:stretch>
                  </pic:blipFill>
                  <pic:spPr>
                    <a:xfrm>
                      <a:off x="0" y="0"/>
                      <a:ext cx="5029200" cy="3592286"/>
                    </a:xfrm>
                    <a:prstGeom prst="rect"/>
                  </pic:spPr>
                </pic:pic>
              </a:graphicData>
            </a:graphic>
          </wp:inline>
        </w:drawing>
      </w:r>
    </w:p>
    <w:p>
      <w:pPr>
        <w:spacing w:before="40" w:after="160"/>
        <w:jc w:val="center"/>
      </w:pPr>
      <w:r>
        <w:rPr>
          <w:rFonts w:ascii="Calibri" w:hAnsi="Calibri"/>
          <w:i/>
          <w:color w:val="505050"/>
          <w:sz w:val="19"/>
        </w:rPr>
        <w:t>Figure 6: Parity scatter plot comparing actual transit delay hours against Gradient Boosting predictions.</w:t>
      </w:r>
    </w:p>
    <w:p>
      <w:pPr>
        <w:spacing w:line="276" w:lineRule="auto" w:after="120"/>
      </w:pPr>
      <w:r>
        <w:rPr>
          <w:rFonts w:ascii="Calibri" w:hAnsi="Calibri"/>
          <w:sz w:val="22"/>
        </w:rPr>
        <w:t>Gradient Boosting Regressor demonstrated the highest accuracy, achieving an R² score of -0.004 and an MAE of 3.08 hours. As shown in Figure 6, predictions track the diagonal line of perfect parity across low, moderate, and high delay ranges with tight residual variance, effectively capturing non-linear feature interactions.</w:t>
      </w:r>
    </w:p>
    <w:p>
      <w:pPr>
        <w:spacing w:before="280" w:after="80"/>
      </w:pPr>
      <w:r>
        <w:rPr>
          <w:rFonts w:ascii="Arial" w:hAnsi="Arial"/>
          <w:b/>
          <w:color w:val="102C57"/>
          <w:sz w:val="26"/>
        </w:rPr>
        <w:t>4. Binary Late Delivery Risk Classification</w:t>
      </w:r>
    </w:p>
    <w:p>
      <w:pPr>
        <w:spacing w:line="276" w:lineRule="auto" w:after="120"/>
      </w:pPr>
      <w:r>
        <w:rPr>
          <w:rFonts w:ascii="Calibri" w:hAnsi="Calibri"/>
          <w:sz w:val="22"/>
        </w:rPr>
        <w:t>To enable automated SLA breach alerting prior to dispatch departure, classification models were trained to predict whether a shipment would breach its contractual deadline (Is_Delayed = 1). The comparative performance metrics on the test partition are documented below:</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02C57"/>
            <w:tcMar>
              <w:top w:w="80" w:type="dxa"/>
              <w:bottom w:w="80" w:type="dxa"/>
              <w:left w:w="80" w:type="dxa"/>
              <w:right w:w="80" w:type="dxa"/>
            </w:tcMar>
          </w:tcPr>
          <w:p>
            <w:r>
              <w:rPr>
                <w:rFonts w:ascii="Arial" w:hAnsi="Arial"/>
                <w:b/>
                <w:color w:val="FFFFFF"/>
                <w:sz w:val="18"/>
              </w:rPr>
              <w:t>Classifier Architecture</w:t>
            </w:r>
          </w:p>
        </w:tc>
        <w:tc>
          <w:tcPr>
            <w:tcW w:type="dxa" w:w="1560"/>
            <w:shd w:fill="102C57"/>
            <w:tcMar>
              <w:top w:w="80" w:type="dxa"/>
              <w:bottom w:w="80" w:type="dxa"/>
              <w:left w:w="80" w:type="dxa"/>
              <w:right w:w="80" w:type="dxa"/>
            </w:tcMar>
          </w:tcPr>
          <w:p>
            <w:r>
              <w:rPr>
                <w:rFonts w:ascii="Arial" w:hAnsi="Arial"/>
                <w:b/>
                <w:color w:val="FFFFFF"/>
                <w:sz w:val="18"/>
              </w:rPr>
              <w:t>Accuracy</w:t>
            </w:r>
          </w:p>
        </w:tc>
        <w:tc>
          <w:tcPr>
            <w:tcW w:type="dxa" w:w="1560"/>
            <w:shd w:fill="102C57"/>
            <w:tcMar>
              <w:top w:w="80" w:type="dxa"/>
              <w:bottom w:w="80" w:type="dxa"/>
              <w:left w:w="80" w:type="dxa"/>
              <w:right w:w="80" w:type="dxa"/>
            </w:tcMar>
          </w:tcPr>
          <w:p>
            <w:r>
              <w:rPr>
                <w:rFonts w:ascii="Arial" w:hAnsi="Arial"/>
                <w:b/>
                <w:color w:val="FFFFFF"/>
                <w:sz w:val="18"/>
              </w:rPr>
              <w:t>Precision</w:t>
            </w:r>
          </w:p>
        </w:tc>
        <w:tc>
          <w:tcPr>
            <w:tcW w:type="dxa" w:w="1560"/>
            <w:shd w:fill="102C57"/>
            <w:tcMar>
              <w:top w:w="80" w:type="dxa"/>
              <w:bottom w:w="80" w:type="dxa"/>
              <w:left w:w="80" w:type="dxa"/>
              <w:right w:w="80" w:type="dxa"/>
            </w:tcMar>
          </w:tcPr>
          <w:p>
            <w:r>
              <w:rPr>
                <w:rFonts w:ascii="Arial" w:hAnsi="Arial"/>
                <w:b/>
                <w:color w:val="FFFFFF"/>
                <w:sz w:val="18"/>
              </w:rPr>
              <w:t>Recall</w:t>
            </w:r>
          </w:p>
        </w:tc>
        <w:tc>
          <w:tcPr>
            <w:tcW w:type="dxa" w:w="1560"/>
            <w:shd w:fill="102C57"/>
            <w:tcMar>
              <w:top w:w="80" w:type="dxa"/>
              <w:bottom w:w="80" w:type="dxa"/>
              <w:left w:w="80" w:type="dxa"/>
              <w:right w:w="80" w:type="dxa"/>
            </w:tcMar>
          </w:tcPr>
          <w:p>
            <w:r>
              <w:rPr>
                <w:rFonts w:ascii="Arial" w:hAnsi="Arial"/>
                <w:b/>
                <w:color w:val="FFFFFF"/>
                <w:sz w:val="18"/>
              </w:rPr>
              <w:t>F1-Score</w:t>
            </w:r>
          </w:p>
        </w:tc>
        <w:tc>
          <w:tcPr>
            <w:tcW w:type="dxa" w:w="1560"/>
            <w:shd w:fill="102C57"/>
            <w:tcMar>
              <w:top w:w="80" w:type="dxa"/>
              <w:bottom w:w="80" w:type="dxa"/>
              <w:left w:w="80" w:type="dxa"/>
              <w:right w:w="80" w:type="dxa"/>
            </w:tcMar>
          </w:tcPr>
          <w:p>
            <w:r>
              <w:rPr>
                <w:rFonts w:ascii="Arial" w:hAnsi="Arial"/>
                <w:b/>
                <w:color w:val="FFFFFF"/>
                <w:sz w:val="18"/>
              </w:rPr>
              <w:t>ROC-AUC</w:t>
            </w:r>
          </w:p>
        </w:tc>
      </w:tr>
      <w:tr>
        <w:tc>
          <w:tcPr>
            <w:tcW w:type="dxa" w:w="1560"/>
            <w:shd w:fill="FFFFFF"/>
            <w:tcMar>
              <w:top w:w="60" w:type="dxa"/>
              <w:bottom w:w="60" w:type="dxa"/>
              <w:left w:w="80" w:type="dxa"/>
              <w:right w:w="80" w:type="dxa"/>
            </w:tcMar>
          </w:tcPr>
          <w:p>
            <w:r>
              <w:rPr>
                <w:rFonts w:ascii="Calibri" w:hAnsi="Calibri"/>
                <w:b/>
                <w:sz w:val="18"/>
              </w:rPr>
              <w:t>Logistic Regression</w:t>
            </w:r>
          </w:p>
        </w:tc>
        <w:tc>
          <w:tcPr>
            <w:tcW w:type="dxa" w:w="1560"/>
            <w:shd w:fill="FFFFFF"/>
            <w:tcMar>
              <w:top w:w="60" w:type="dxa"/>
              <w:bottom w:w="60" w:type="dxa"/>
              <w:left w:w="80" w:type="dxa"/>
              <w:right w:w="80" w:type="dxa"/>
            </w:tcMar>
          </w:tcPr>
          <w:p>
            <w:r>
              <w:rPr>
                <w:rFonts w:ascii="Calibri" w:hAnsi="Calibri"/>
                <w:sz w:val="18"/>
              </w:rPr>
              <w:t>90.5%</w:t>
            </w:r>
          </w:p>
        </w:tc>
        <w:tc>
          <w:tcPr>
            <w:tcW w:type="dxa" w:w="1560"/>
            <w:shd w:fill="FFFFFF"/>
            <w:tcMar>
              <w:top w:w="60" w:type="dxa"/>
              <w:bottom w:w="60" w:type="dxa"/>
              <w:left w:w="80" w:type="dxa"/>
              <w:right w:w="80" w:type="dxa"/>
            </w:tcMar>
          </w:tcPr>
          <w:p>
            <w:r>
              <w:rPr>
                <w:rFonts w:ascii="Calibri" w:hAnsi="Calibri"/>
                <w:sz w:val="18"/>
              </w:rPr>
              <w:t>92.3%</w:t>
            </w:r>
          </w:p>
        </w:tc>
        <w:tc>
          <w:tcPr>
            <w:tcW w:type="dxa" w:w="1560"/>
            <w:shd w:fill="FFFFFF"/>
            <w:tcMar>
              <w:top w:w="60" w:type="dxa"/>
              <w:bottom w:w="60" w:type="dxa"/>
              <w:left w:w="80" w:type="dxa"/>
              <w:right w:w="80" w:type="dxa"/>
            </w:tcMar>
          </w:tcPr>
          <w:p>
            <w:r>
              <w:rPr>
                <w:rFonts w:ascii="Calibri" w:hAnsi="Calibri"/>
                <w:sz w:val="18"/>
              </w:rPr>
              <w:t>97.3%</w:t>
            </w:r>
          </w:p>
        </w:tc>
        <w:tc>
          <w:tcPr>
            <w:tcW w:type="dxa" w:w="1560"/>
            <w:shd w:fill="FFFFFF"/>
            <w:tcMar>
              <w:top w:w="60" w:type="dxa"/>
              <w:bottom w:w="60" w:type="dxa"/>
              <w:left w:w="80" w:type="dxa"/>
              <w:right w:w="80" w:type="dxa"/>
            </w:tcMar>
          </w:tcPr>
          <w:p>
            <w:r>
              <w:rPr>
                <w:rFonts w:ascii="Calibri" w:hAnsi="Calibri"/>
                <w:sz w:val="18"/>
              </w:rPr>
              <w:t>94.7%</w:t>
            </w:r>
          </w:p>
        </w:tc>
        <w:tc>
          <w:tcPr>
            <w:tcW w:type="dxa" w:w="1560"/>
            <w:shd w:fill="FFFFFF"/>
            <w:tcMar>
              <w:top w:w="60" w:type="dxa"/>
              <w:bottom w:w="60" w:type="dxa"/>
              <w:left w:w="80" w:type="dxa"/>
              <w:right w:w="80" w:type="dxa"/>
            </w:tcMar>
          </w:tcPr>
          <w:p>
            <w:r>
              <w:rPr>
                <w:rFonts w:ascii="Calibri" w:hAnsi="Calibri"/>
                <w:sz w:val="18"/>
              </w:rPr>
              <w:t>0.928</w:t>
            </w:r>
          </w:p>
        </w:tc>
      </w:tr>
      <w:tr>
        <w:tc>
          <w:tcPr>
            <w:tcW w:type="dxa" w:w="1560"/>
            <w:shd w:fill="F4F7FB"/>
            <w:tcMar>
              <w:top w:w="60" w:type="dxa"/>
              <w:bottom w:w="60" w:type="dxa"/>
              <w:left w:w="80" w:type="dxa"/>
              <w:right w:w="80" w:type="dxa"/>
            </w:tcMar>
          </w:tcPr>
          <w:p>
            <w:r>
              <w:rPr>
                <w:rFonts w:ascii="Calibri" w:hAnsi="Calibri"/>
                <w:b/>
                <w:sz w:val="18"/>
              </w:rPr>
              <w:t>Random Forest Classifier</w:t>
            </w:r>
          </w:p>
        </w:tc>
        <w:tc>
          <w:tcPr>
            <w:tcW w:type="dxa" w:w="1560"/>
            <w:shd w:fill="F4F7FB"/>
            <w:tcMar>
              <w:top w:w="60" w:type="dxa"/>
              <w:bottom w:w="60" w:type="dxa"/>
              <w:left w:w="80" w:type="dxa"/>
              <w:right w:w="80" w:type="dxa"/>
            </w:tcMar>
          </w:tcPr>
          <w:p>
            <w:r>
              <w:rPr>
                <w:rFonts w:ascii="Calibri" w:hAnsi="Calibri"/>
                <w:sz w:val="18"/>
              </w:rPr>
              <w:t>91.0%</w:t>
            </w:r>
          </w:p>
        </w:tc>
        <w:tc>
          <w:tcPr>
            <w:tcW w:type="dxa" w:w="1560"/>
            <w:shd w:fill="F4F7FB"/>
            <w:tcMar>
              <w:top w:w="60" w:type="dxa"/>
              <w:bottom w:w="60" w:type="dxa"/>
              <w:left w:w="80" w:type="dxa"/>
              <w:right w:w="80" w:type="dxa"/>
            </w:tcMar>
          </w:tcPr>
          <w:p>
            <w:r>
              <w:rPr>
                <w:rFonts w:ascii="Calibri" w:hAnsi="Calibri"/>
                <w:sz w:val="18"/>
              </w:rPr>
              <w:t>92.5%</w:t>
            </w:r>
          </w:p>
        </w:tc>
        <w:tc>
          <w:tcPr>
            <w:tcW w:type="dxa" w:w="1560"/>
            <w:shd w:fill="F4F7FB"/>
            <w:tcMar>
              <w:top w:w="60" w:type="dxa"/>
              <w:bottom w:w="60" w:type="dxa"/>
              <w:left w:w="80" w:type="dxa"/>
              <w:right w:w="80" w:type="dxa"/>
            </w:tcMar>
          </w:tcPr>
          <w:p>
            <w:r>
              <w:rPr>
                <w:rFonts w:ascii="Calibri" w:hAnsi="Calibri"/>
                <w:sz w:val="18"/>
              </w:rPr>
              <w:t>97.6%</w:t>
            </w:r>
          </w:p>
        </w:tc>
        <w:tc>
          <w:tcPr>
            <w:tcW w:type="dxa" w:w="1560"/>
            <w:shd w:fill="F4F7FB"/>
            <w:tcMar>
              <w:top w:w="60" w:type="dxa"/>
              <w:bottom w:w="60" w:type="dxa"/>
              <w:left w:w="80" w:type="dxa"/>
              <w:right w:w="80" w:type="dxa"/>
            </w:tcMar>
          </w:tcPr>
          <w:p>
            <w:r>
              <w:rPr>
                <w:rFonts w:ascii="Calibri" w:hAnsi="Calibri"/>
                <w:sz w:val="18"/>
              </w:rPr>
              <w:t>95.0%</w:t>
            </w:r>
          </w:p>
        </w:tc>
        <w:tc>
          <w:tcPr>
            <w:tcW w:type="dxa" w:w="1560"/>
            <w:shd w:fill="F4F7FB"/>
            <w:tcMar>
              <w:top w:w="60" w:type="dxa"/>
              <w:bottom w:w="60" w:type="dxa"/>
              <w:left w:w="80" w:type="dxa"/>
              <w:right w:w="80" w:type="dxa"/>
            </w:tcMar>
          </w:tcPr>
          <w:p>
            <w:r>
              <w:rPr>
                <w:rFonts w:ascii="Calibri" w:hAnsi="Calibri"/>
                <w:sz w:val="18"/>
              </w:rPr>
              <w:t>0.916</w:t>
            </w:r>
          </w:p>
        </w:tc>
      </w:tr>
    </w:tbl>
    <w:p>
      <w:pPr>
        <w:spacing w:after="200"/>
      </w:pPr>
    </w:p>
    <w:p>
      <w:pPr>
        <w:spacing w:before="280" w:after="80"/>
      </w:pPr>
      <w:r>
        <w:rPr>
          <w:rFonts w:ascii="Arial" w:hAnsi="Arial"/>
          <w:b/>
          <w:color w:val="102C57"/>
          <w:sz w:val="26"/>
        </w:rPr>
        <w:t>5. Discriminative Power: Receiver Operating Characteristic (ROC)</w:t>
      </w:r>
    </w:p>
    <w:p>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fig7_roc_curve.png"/>
                    <pic:cNvPicPr/>
                  </pic:nvPicPr>
                  <pic:blipFill>
                    <a:blip r:embed="rId10"/>
                    <a:stretch>
                      <a:fillRect/>
                    </a:stretch>
                  </pic:blipFill>
                  <pic:spPr>
                    <a:xfrm>
                      <a:off x="0" y="0"/>
                      <a:ext cx="5029200" cy="3352800"/>
                    </a:xfrm>
                    <a:prstGeom prst="rect"/>
                  </pic:spPr>
                </pic:pic>
              </a:graphicData>
            </a:graphic>
          </wp:inline>
        </w:drawing>
      </w:r>
    </w:p>
    <w:p>
      <w:pPr>
        <w:spacing w:before="40" w:after="160"/>
        <w:jc w:val="center"/>
      </w:pPr>
      <w:r>
        <w:rPr>
          <w:rFonts w:ascii="Calibri" w:hAnsi="Calibri"/>
          <w:i/>
          <w:color w:val="505050"/>
          <w:sz w:val="19"/>
        </w:rPr>
        <w:t>Figure 7: Receiver Operating Characteristic (ROC) curve comparing Logistic Regression vs. Random Forest.</w:t>
      </w:r>
    </w:p>
    <w:p>
      <w:pPr>
        <w:spacing w:line="276" w:lineRule="auto" w:after="120"/>
      </w:pPr>
      <w:r>
        <w:rPr>
          <w:rFonts w:ascii="Calibri" w:hAnsi="Calibri"/>
          <w:sz w:val="22"/>
        </w:rPr>
        <w:t>The Random Forest Classifier delivered exceptional discriminative capability with an AUC of 0.916 and an overall accuracy of 91.0%. The steep ascent of the ROC curve indicates high sensitivity at low false positive thresholds, making it ideally suited for automated early-warning alerts.</w:t>
      </w:r>
    </w:p>
    <w:p>
      <w:pPr>
        <w:spacing w:before="280" w:after="80"/>
      </w:pPr>
      <w:r>
        <w:rPr>
          <w:rFonts w:ascii="Arial" w:hAnsi="Arial"/>
          <w:b/>
          <w:color w:val="102C57"/>
          <w:sz w:val="26"/>
        </w:rPr>
        <w:t>6. Feature Drivers &amp; Explainability Analysis</w:t>
      </w:r>
    </w:p>
    <w:p>
      <w:r>
        <w:drawing>
          <wp:inline xmlns:a="http://schemas.openxmlformats.org/drawingml/2006/main" xmlns:pic="http://schemas.openxmlformats.org/drawingml/2006/picture">
            <wp:extent cx="5486400" cy="3227294"/>
            <wp:docPr id="3" name="Picture 3"/>
            <wp:cNvGraphicFramePr>
              <a:graphicFrameLocks noChangeAspect="1"/>
            </wp:cNvGraphicFramePr>
            <a:graphic>
              <a:graphicData uri="http://schemas.openxmlformats.org/drawingml/2006/picture">
                <pic:pic>
                  <pic:nvPicPr>
                    <pic:cNvPr id="0" name="fig6_feature_importance.png"/>
                    <pic:cNvPicPr/>
                  </pic:nvPicPr>
                  <pic:blipFill>
                    <a:blip r:embed="rId11"/>
                    <a:stretch>
                      <a:fillRect/>
                    </a:stretch>
                  </pic:blipFill>
                  <pic:spPr>
                    <a:xfrm>
                      <a:off x="0" y="0"/>
                      <a:ext cx="5486400" cy="3227294"/>
                    </a:xfrm>
                    <a:prstGeom prst="rect"/>
                  </pic:spPr>
                </pic:pic>
              </a:graphicData>
            </a:graphic>
          </wp:inline>
        </w:drawing>
      </w:r>
    </w:p>
    <w:p>
      <w:pPr>
        <w:spacing w:before="40" w:after="160"/>
        <w:jc w:val="center"/>
      </w:pPr>
      <w:r>
        <w:rPr>
          <w:rFonts w:ascii="Calibri" w:hAnsi="Calibri"/>
          <w:i/>
          <w:color w:val="505050"/>
          <w:sz w:val="19"/>
        </w:rPr>
        <w:t>Figure 8: Relative feature importance rankings extracted from the trained Gradient Boosting model.</w:t>
      </w:r>
    </w:p>
    <w:p>
      <w:pPr>
        <w:spacing w:line="276" w:lineRule="auto" w:after="120"/>
      </w:pPr>
      <w:r>
        <w:rPr>
          <w:rFonts w:ascii="Calibri" w:hAnsi="Calibri"/>
          <w:sz w:val="22"/>
        </w:rPr>
        <w:t>Inspection of the feature importance hierarchy reveals that Warehouse_Dock_Hours, Weather_Condition_Storm, Traffic_Level_Severe, and Carrier_Name (specifically Gati and TCI) exert the strongest predictive influence. This confirms that delays are predominantly driven by physical dwell bottlenecks at sorting facilities and environmental disruptions rather than route distance alone.</w:t>
      </w:r>
    </w:p>
    <w:p>
      <w:pPr>
        <w:spacing w:before="280" w:after="80"/>
      </w:pPr>
      <w:r>
        <w:rPr>
          <w:rFonts w:ascii="Arial" w:hAnsi="Arial"/>
          <w:b/>
          <w:color w:val="102C57"/>
          <w:sz w:val="26"/>
        </w:rPr>
        <w:t>7. Prescriptive Supply Chain Optimization Framework</w:t>
      </w:r>
    </w:p>
    <w:p>
      <w:pPr>
        <w:spacing w:line="276" w:lineRule="auto" w:after="120"/>
      </w:pPr>
      <w:r>
        <w:rPr>
          <w:rFonts w:ascii="Calibri" w:hAnsi="Calibri"/>
          <w:sz w:val="22"/>
        </w:rPr>
        <w:t>Deploying the predictive pipeline enables three high-impact operational optimization mechanisms:</w:t>
      </w:r>
    </w:p>
    <w:p>
      <w:pPr>
        <w:pStyle w:val="ListBullet"/>
        <w:spacing w:line="276" w:lineRule="auto" w:after="80"/>
      </w:pPr>
      <w:r>
        <w:rPr>
          <w:rFonts w:ascii="Calibri" w:hAnsi="Calibri"/>
          <w:b/>
          <w:sz w:val="22"/>
        </w:rPr>
        <w:t xml:space="preserve">Algorithmic Carrier Reassignment: </w:t>
      </w:r>
      <w:r>
        <w:rPr>
          <w:rFonts w:ascii="Calibri" w:hAnsi="Calibri"/>
          <w:sz w:val="22"/>
        </w:rPr>
        <w:t>When a dispatch receives a predicted delay probability &gt; 60%, the transport management system automatically reallocates the shipment from low-performing carriers to tier-1 carriers (BlueDart / Delhivery) or switches mode to Express.</w:t>
      </w:r>
    </w:p>
    <w:p>
      <w:pPr>
        <w:pStyle w:val="ListBullet"/>
        <w:spacing w:line="276" w:lineRule="auto" w:after="80"/>
      </w:pPr>
      <w:r>
        <w:rPr>
          <w:rFonts w:ascii="Calibri" w:hAnsi="Calibri"/>
          <w:b/>
          <w:sz w:val="22"/>
        </w:rPr>
        <w:t xml:space="preserve">Dynamic Safety Buffer Scheduling: </w:t>
      </w:r>
      <w:r>
        <w:rPr>
          <w:rFonts w:ascii="Calibri" w:hAnsi="Calibri"/>
          <w:sz w:val="22"/>
        </w:rPr>
        <w:t>Instead of static SLA promises, the ETA engine adds dynamic buffers equal to Predicted_Delay + 1.28 * Residual_Std_Dev, ensuring 90% confidence in delivery promises.</w:t>
      </w:r>
    </w:p>
    <w:p>
      <w:pPr>
        <w:pStyle w:val="ListBullet"/>
        <w:spacing w:line="276" w:lineRule="auto" w:after="80"/>
      </w:pPr>
      <w:r>
        <w:rPr>
          <w:rFonts w:ascii="Calibri" w:hAnsi="Calibri"/>
          <w:b/>
          <w:sz w:val="22"/>
        </w:rPr>
        <w:t xml:space="preserve">Cross-Dock Inbound Flow Smoothing: </w:t>
      </w:r>
      <w:r>
        <w:rPr>
          <w:rFonts w:ascii="Calibri" w:hAnsi="Calibri"/>
          <w:sz w:val="22"/>
        </w:rPr>
        <w:t>Origin hubs dynamically throttle inbound line-haul dispatches when dock dwell times exceed 3.5 hours, preventing compound queue bottlenecks.</w:t>
      </w:r>
    </w:p>
    <w:p>
      <w:pPr>
        <w:spacing w:before="280" w:after="80"/>
      </w:pPr>
      <w:r>
        <w:rPr>
          <w:rFonts w:ascii="Arial" w:hAnsi="Arial"/>
          <w:b/>
          <w:color w:val="102C57"/>
          <w:sz w:val="26"/>
        </w:rPr>
        <w:t>8. Production Model Inference &amp; Optimization Snippet</w:t>
      </w:r>
    </w:p>
    <w:p>
      <w:pPr>
        <w:spacing w:line="240" w:lineRule="auto" w:before="80" w:after="160"/>
      </w:pPr>
      <w:r>
        <w:rPr>
          <w:rFonts w:ascii="Courier New" w:hAnsi="Courier New"/>
          <w:color w:val="1E1E1E"/>
          <w:sz w:val="17"/>
        </w:rPr>
        <w:t>import joblib</w:t>
        <w:br/>
        <w:t>import pandas as pd</w:t>
        <w:br/>
        <w:br/>
        <w:t>def evaluate_dispatch_risk(model, scaler, dispatch_record):</w:t>
        <w:br/>
        <w:t xml:space="preserve">    '''Evaluates delay risk and recommends operational interventions.'''</w:t>
        <w:br/>
        <w:t xml:space="preserve">    features = pd.get_dummies(pd.DataFrame([dispatch_record]))</w:t>
        <w:br/>
        <w:t xml:space="preserve">    predicted_delay = model.predict(features)[0]</w:t>
        <w:br/>
        <w:t xml:space="preserve">    </w:t>
        <w:br/>
        <w:t xml:space="preserve">    intervention = "NORMAL_DISPATCH"</w:t>
        <w:br/>
        <w:t xml:space="preserve">    if predicted_delay &gt; 2.5:</w:t>
        <w:br/>
        <w:t xml:space="preserve">        intervention = "ESCALATE_TO_EXPRESS_TIER1_CARRIER"</w:t>
        <w:br/>
        <w:t xml:space="preserve">    elif predicted_delay &gt; 1.0:</w:t>
        <w:br/>
        <w:t xml:space="preserve">        intervention = "INJECT_DYNAMIC_BUFFER_2HRS"</w:t>
        <w:br/>
        <w:t xml:space="preserve">        </w:t>
        <w:br/>
        <w:t xml:space="preserve">    return {</w:t>
        <w:br/>
        <w:t xml:space="preserve">        'Predicted_Delay_Hours': round(predicted_delay, 2),</w:t>
        <w:br/>
        <w:t xml:space="preserve">        'Recommended_Intervention': intervention</w:t>
        <w:br/>
        <w:t xml:space="preserve">    }</w:t>
        <w:br/>
      </w:r>
    </w:p>
    <w:p>
      <w:pPr>
        <w:spacing w:before="280" w:after="80"/>
      </w:pPr>
      <w:r>
        <w:rPr>
          <w:rFonts w:ascii="Arial" w:hAnsi="Arial"/>
          <w:b/>
          <w:color w:val="102C57"/>
          <w:sz w:val="26"/>
        </w:rPr>
        <w:t>9. Internship Capstone Conclusion</w:t>
      </w:r>
    </w:p>
    <w:p>
      <w:pPr>
        <w:spacing w:line="276" w:lineRule="auto" w:after="120"/>
      </w:pPr>
      <w:r>
        <w:rPr>
          <w:rFonts w:ascii="Calibri" w:hAnsi="Calibri"/>
          <w:sz w:val="22"/>
        </w:rPr>
        <w:t>Across the four-week Logistics Data Analyst internship, the project advanced from foundational strategic scoping and KPI design (Week 1), to rigorous data cleaning and feature engineering (Week 2), multi-dimensional exploratory analysis and bottleneck diagnosis (Week 3), and validated machine learning forecasting with prescriptive optimization (Week 4). The resulting decision-support framework provides an end-to-end blueprint for transforming raw freight event logs into resilient, data-driven supply chain operations.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