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0F1115"/>
          <w:sz w:val="96"/>
          <w:szCs w:val="96"/>
        </w:rPr>
        <w:t xml:space="preserve">ZINKRO</w:t>
      </w:r>
    </w:p>
    <w:p>
      <w:pPr>
        <w:spacing w:after="80"/>
        <w:jc w:val="center"/>
      </w:pPr>
      <w:r>
        <w:rPr>
          <w:b/>
          <w:bCs/>
          <w:color w:val="3D7FFF"/>
          <w:spacing w:val="40"/>
          <w:sz w:val="32"/>
          <w:szCs w:val="32"/>
        </w:rPr>
        <w:t xml:space="preserve">BRAND IDENTITY GUIDE</w:t>
      </w:r>
    </w:p>
    <w:p>
      <w:pPr>
        <w:spacing w:after="600"/>
        <w:jc w:val="center"/>
      </w:pPr>
      <w:r>
        <w:rPr>
          <w:i/>
          <w:iCs/>
          <w:color w:val="8A8F98"/>
          <w:sz w:val="24"/>
          <w:szCs w:val="24"/>
        </w:rPr>
        <w:t xml:space="preserve">Track it all, automatically.</w:t>
      </w:r>
    </w:p>
    <w:p>
      <w:pPr>
        <w:spacing w:after="40"/>
        <w:jc w:val="center"/>
      </w:pPr>
      <w:r>
        <w:rPr>
          <w:color w:val="1A1C22"/>
          <w:sz w:val="22"/>
          <w:szCs w:val="22"/>
        </w:rPr>
        <w:t xml:space="preserve">The Intelligent Operating System for Your Money</w:t>
      </w:r>
    </w:p>
    <w:p>
      <w:pPr>
        <w:spacing w:before="1200"/>
        <w:jc w:val="center"/>
      </w:pPr>
      <w:r>
        <w:rPr>
          <w:color w:val="8A8F98"/>
          <w:sz w:val="18"/>
          <w:szCs w:val="18"/>
        </w:rPr>
        <w:t xml:space="preserve">Version 1.0  |  Brand Foundation, Strategy &amp; Visual Identity System</w:t>
      </w:r>
    </w:p>
    <w:p>
      <w:pPr>
        <w:pStyle w:val="Heading1"/>
        <w:pageBreakBefore/>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Section 1 — Brand Foundation</w:t>
      </w:r>
    </w:p>
    <w:p>
      <w:pPr>
        <w:pStyle w:val="Heading2"/>
      </w:pPr>
      <w:r>
        <w:t xml:space="preserve">1.1 Brand Purpose</w:t>
      </w:r>
    </w:p>
    <w:p>
      <w:pPr>
        <w:spacing w:after="160"/>
      </w:pPr>
      <w:r>
        <w:t xml:space="preserve">Zinkro exists because financial control should not be a privilege reserved for those who can afford an accountant, a wealth manager, or hours of spare time each week. Across emerging markets and beyond, millions of capable, hard-working people lose track of their money not because they lack discipline, but because the tools available to them demand more effort than most people can sustain. Zinkro removes that friction entirely. By automatically capturing, categorizing, and making sense of every transaction, Zinkro gives every individual — from a market trader in Lagos to a freelance designer in Nairobi to a remote worker in Manila — the same financial visibility once reserved for the wealthy.</w:t>
      </w:r>
    </w:p>
    <w:p>
      <w:pPr>
        <w:pStyle w:val="Heading2"/>
      </w:pPr>
      <w:r>
        <w:t xml:space="preserve">1.2 Mission Statement</w:t>
      </w:r>
    </w:p>
    <w:p>
      <w:pPr>
        <w:pBdr>
          <w:left w:val="single" w:color="3D7FFF" w:sz="24" w:space="8"/>
        </w:pBdr>
        <w:spacing w:after="200"/>
      </w:pPr>
      <w:r>
        <w:rPr>
          <w:i/>
          <w:iCs/>
          <w:sz w:val="24"/>
          <w:szCs w:val="24"/>
        </w:rPr>
        <w:t xml:space="preserve">To make financial clarity, discipline, and growth automatic, accessible, and effortless for everyone, everywhere.</w:t>
      </w:r>
    </w:p>
    <w:p>
      <w:pPr>
        <w:pStyle w:val="Heading2"/>
      </w:pPr>
      <w:r>
        <w:t xml:space="preserve">1.3 Vision Statement</w:t>
      </w:r>
    </w:p>
    <w:p>
      <w:pPr>
        <w:pBdr>
          <w:left w:val="single" w:color="00D4D4" w:sz="24" w:space="8"/>
        </w:pBdr>
        <w:spacing w:after="200"/>
      </w:pPr>
      <w:r>
        <w:rPr>
          <w:i/>
          <w:iCs/>
          <w:sz w:val="24"/>
          <w:szCs w:val="24"/>
        </w:rPr>
        <w:t xml:space="preserve">To become the financial operating system of emerging markets — and, in time, the world's default layer for managing, understanding, and growing personal wealth.</w:t>
      </w:r>
    </w:p>
    <w:p>
      <w:pPr>
        <w:pStyle w:val="Heading2"/>
      </w:pPr>
      <w:r>
        <w:t xml:space="preserve">1.4 Core Values</w:t>
      </w:r>
    </w:p>
    <w:p>
      <w:pPr>
        <w:spacing w:after="120"/>
      </w:pPr>
      <w:r>
        <w:rPr>
          <w:b/>
          <w:bCs/>
        </w:rPr>
        <w:t xml:space="preserve">Clarity — </w:t>
      </w:r>
      <w:r>
        <w:t xml:space="preserve">We turn scattered, confusing financial data into a single, honest picture. Users should never have to guess where their money went.</w:t>
      </w:r>
    </w:p>
    <w:p>
      <w:pPr>
        <w:spacing w:after="120"/>
      </w:pPr>
      <w:r>
        <w:rPr>
          <w:b/>
          <w:bCs/>
        </w:rPr>
        <w:t xml:space="preserve">Automation — </w:t>
      </w:r>
      <w:r>
        <w:t xml:space="preserve">We believe the best financial tool is the one you barely have to use. Every manual step we remove is a habit we make possible.</w:t>
      </w:r>
    </w:p>
    <w:p>
      <w:pPr>
        <w:spacing w:after="120"/>
      </w:pPr>
      <w:r>
        <w:rPr>
          <w:b/>
          <w:bCs/>
        </w:rPr>
        <w:t xml:space="preserve">Trust &amp; Security — </w:t>
      </w:r>
      <w:r>
        <w:t xml:space="preserve">We handle people's most sensitive data — their money. Every design and engineering decision starts from the question: would this earn trust?</w:t>
      </w:r>
    </w:p>
    <w:p>
      <w:pPr>
        <w:spacing w:after="120"/>
      </w:pPr>
      <w:r>
        <w:rPr>
          <w:b/>
          <w:bCs/>
        </w:rPr>
        <w:t xml:space="preserve">Empowerment — </w:t>
      </w:r>
      <w:r>
        <w:t xml:space="preserve">We don't just show numbers; we help people act on them. Insight without empowerment is just noise.</w:t>
      </w:r>
    </w:p>
    <w:p>
      <w:pPr>
        <w:spacing w:after="120"/>
      </w:pPr>
      <w:r>
        <w:rPr>
          <w:b/>
          <w:bCs/>
        </w:rPr>
        <w:t xml:space="preserve">Simplicity — </w:t>
      </w:r>
      <w:r>
        <w:t xml:space="preserve">Financial concepts are often made complicated on purpose. We strip away jargon and friction so anyone, regardless of financial literacy, can understand their own money.</w:t>
      </w:r>
    </w:p>
    <w:p>
      <w:pPr>
        <w:spacing w:after="120"/>
      </w:pPr>
      <w:r>
        <w:rPr>
          <w:b/>
          <w:bCs/>
        </w:rPr>
        <w:t xml:space="preserve">Growth Mindset — </w:t>
      </w:r>
      <w:r>
        <w:t xml:space="preserve">We treat every user's financial journey as a story of progress, not judgment. Setbacks are data, not failure.</w:t>
      </w:r>
    </w:p>
    <w:p>
      <w:pPr>
        <w:spacing w:after="120"/>
      </w:pPr>
      <w:r>
        <w:rPr>
          <w:b/>
          <w:bCs/>
        </w:rPr>
        <w:t xml:space="preserve">Inclusivity — </w:t>
      </w:r>
      <w:r>
        <w:t xml:space="preserve">We design for the realities of emerging markets first — multiple currencies, informal income, varied banking infrastructure — and build outward from there.</w:t>
      </w:r>
    </w:p>
    <w:p>
      <w:pPr>
        <w:spacing w:after="120"/>
      </w:pPr>
      <w:r>
        <w:rPr>
          <w:b/>
          <w:bCs/>
        </w:rPr>
        <w:t xml:space="preserve">Integrity — </w:t>
      </w:r>
      <w:r>
        <w:t xml:space="preserve">We say what we mean, we do what we promise, and we never let growth metrics compromise a user's financial wellbeing.</w:t>
      </w:r>
    </w:p>
    <w:p>
      <w:pPr>
        <w:pStyle w:val="Heading2"/>
      </w:pPr>
      <w:r>
        <w:t xml:space="preserve">1.5 Brand Promise</w:t>
      </w:r>
    </w:p>
    <w:p>
      <w:pPr>
        <w:spacing w:after="200"/>
      </w:pPr>
      <w:r>
        <w:rPr>
          <w:i/>
          <w:iCs/>
          <w:color w:val="3D7FFF"/>
          <w:sz w:val="22"/>
          <w:szCs w:val="22"/>
        </w:rPr>
        <w:t xml:space="preserve">“Every transaction tallied. Every naira, cedi, shilling, and dollar accounted for. Every goal a little closer.”</w:t>
      </w:r>
    </w:p>
    <w:p>
      <w:pPr>
        <w:pStyle w:val="Heading2"/>
      </w:pPr>
      <w:r>
        <w:t xml:space="preserve">1.6 Brand Beliefs</w:t>
      </w:r>
    </w:p>
    <w:p>
      <w:pPr>
        <w:pStyle w:val="ListParagraph"/>
        <w:numPr>
          <w:ilvl w:val="0"/>
          <w:numId w:val="2"/>
        </w:numPr>
        <w:spacing w:after="80"/>
      </w:pPr>
      <w:r>
        <w:t xml:space="preserve">We believe financial literacy shouldn't require a finance degree.</w:t>
      </w:r>
    </w:p>
    <w:p>
      <w:pPr>
        <w:pStyle w:val="ListParagraph"/>
        <w:numPr>
          <w:ilvl w:val="0"/>
          <w:numId w:val="2"/>
        </w:numPr>
        <w:spacing w:after="80"/>
      </w:pPr>
      <w:r>
        <w:t xml:space="preserve">We believe small, automatically-tracked daily habits compound into life-changing outcomes.</w:t>
      </w:r>
    </w:p>
    <w:p>
      <w:pPr>
        <w:pStyle w:val="ListParagraph"/>
        <w:numPr>
          <w:ilvl w:val="0"/>
          <w:numId w:val="2"/>
        </w:numPr>
        <w:spacing w:after="80"/>
      </w:pPr>
      <w:r>
        <w:t xml:space="preserve">We believe people make better decisions when they can see their money clearly, without shame or judgment.</w:t>
      </w:r>
    </w:p>
    <w:p>
      <w:pPr>
        <w:pStyle w:val="ListParagraph"/>
        <w:numPr>
          <w:ilvl w:val="0"/>
          <w:numId w:val="2"/>
        </w:numPr>
        <w:spacing w:after="80"/>
      </w:pPr>
      <w:r>
        <w:t xml:space="preserve">We believe technology should adapt to how people already live — not demand they change their behavior to fit the tool.</w:t>
      </w:r>
    </w:p>
    <w:p>
      <w:pPr>
        <w:pStyle w:val="ListParagraph"/>
        <w:numPr>
          <w:ilvl w:val="0"/>
          <w:numId w:val="2"/>
        </w:numPr>
        <w:spacing w:after="80"/>
      </w:pPr>
      <w:r>
        <w:t xml:space="preserve">We believe financial tools built for emerging markets, done right, are good enough for the world.</w:t>
      </w:r>
    </w:p>
    <w:p>
      <w:pPr>
        <w:pStyle w:val="Heading2"/>
      </w:pPr>
      <w:r>
        <w:t xml:space="preserve">1.7 Brand Story</w:t>
      </w:r>
    </w:p>
    <w:p>
      <w:pPr>
        <w:spacing w:after="160"/>
      </w:pPr>
      <w:r>
        <w:t xml:space="preserve">Zinkro began with a simple frustration. Our founder, like millions of people, had tried every budgeting app available — and abandoned every single one within weeks. The problem was never a lack of willpower. It was the apps themselves: each one expected users to stop what they were doing, open the app, and manually log every transaction, every single day, forever. Nobody could keep that up.</w:t>
      </w:r>
    </w:p>
    <w:p>
      <w:pPr>
        <w:spacing w:after="160"/>
      </w:pPr>
      <w:r>
        <w:t xml:space="preserve">At the same time, the answer was sitting quietly in plain sight. Every time money moved — a transfer, a card payment, a withdrawal — the bank already sent a notification. The data existed. It just wasn't being used. Zinkro was built on that single insight: what if the app did the typing for you? What if your phone could recognize a debit alert from any bank, understand what it was for, file it under the right category, and simply tell you, at the end of the month, exactly where your money went?</w:t>
      </w:r>
    </w:p>
    <w:p>
      <w:pPr>
        <w:spacing w:after="160"/>
      </w:pPr>
      <w:r>
        <w:t xml:space="preserve">That idea became Zinkro — not just an expense tracker, but the foundation of a full financial operating system. What starts as automatic expense capture grows into budgeting, savings automation, bill management, and AI-powered guidance that feels less like software and more like a financial coach who already knows your story, because it was there for every transaction.</w:t>
      </w:r>
    </w:p>
    <w:p>
      <w:pPr>
        <w:pStyle w:val="Heading1"/>
        <w:pageBreakBefore/>
      </w:pPr>
      <w:r>
        <w:t xml:space="preserve">Section 2 — Brand Strategy</w:t>
      </w:r>
    </w:p>
    <w:p>
      <w:pPr>
        <w:pStyle w:val="Heading2"/>
      </w:pPr>
      <w:r>
        <w:t xml:space="preserve">2.1 Market Positioning</w:t>
      </w:r>
    </w:p>
    <w:p>
      <w:pPr>
        <w:pBdr>
          <w:left w:val="single" w:color="3D7FFF" w:sz="24" w:space="8"/>
        </w:pBdr>
        <w:spacing w:after="200"/>
      </w:pPr>
      <w:r>
        <w:rPr>
          <w:i/>
          <w:iCs/>
          <w:sz w:val="24"/>
          <w:szCs w:val="24"/>
        </w:rPr>
        <w:t xml:space="preserve">“The intelligent operating system for your money.”</w:t>
      </w:r>
    </w:p>
    <w:p>
      <w:pPr>
        <w:spacing w:after="160"/>
      </w:pPr>
      <w:r>
        <w:t xml:space="preserve">Zinkro is positioned not as a finance tracker, not as a banking app, and not as an accounting tool — but as a financial growth partner. Where competitors ask users to do work, Zinkro does the work and asks users to make decisions. This reframes the entire category: from “apps you have to use” to “a system that works for you.”</w:t>
      </w:r>
    </w:p>
    <w:p>
      <w:pPr>
        <w:pStyle w:val="Heading2"/>
      </w:pPr>
      <w:r>
        <w:t xml:space="preserve">2.2 Value Proposition</w:t>
      </w:r>
    </w:p>
    <w:p>
      <w:pPr>
        <w:spacing w:after="120"/>
      </w:pPr>
      <w:r>
        <w:rPr>
          <w:b/>
          <w:bCs/>
        </w:rPr>
        <w:t xml:space="preserve">For </w:t>
      </w:r>
      <w:r>
        <w:t xml:space="preserve">young professionals, entrepreneurs, freelancers, and the emerging middle class across Africa and beyond,</w:t>
      </w:r>
    </w:p>
    <w:p>
      <w:pPr>
        <w:spacing w:after="120"/>
      </w:pPr>
      <w:r>
        <w:rPr>
          <w:b/>
          <w:bCs/>
        </w:rPr>
        <w:t xml:space="preserve">who </w:t>
      </w:r>
      <w:r>
        <w:t xml:space="preserve">struggle to track inconsistent income and spending across multiple accounts and payment methods,</w:t>
      </w:r>
    </w:p>
    <w:p>
      <w:pPr>
        <w:spacing w:after="120"/>
      </w:pPr>
      <w:r>
        <w:rPr>
          <w:b/>
          <w:bCs/>
        </w:rPr>
        <w:t xml:space="preserve">Zinkro </w:t>
      </w:r>
      <w:r>
        <w:t xml:space="preserve">is an AI-powered personal finance operating system</w:t>
      </w:r>
    </w:p>
    <w:p>
      <w:pPr>
        <w:spacing w:after="120"/>
      </w:pPr>
      <w:r>
        <w:rPr>
          <w:b/>
          <w:bCs/>
        </w:rPr>
        <w:t xml:space="preserve">that </w:t>
      </w:r>
      <w:r>
        <w:t xml:space="preserve">automatically captures, categorizes, and analyzes every transaction — turning raw bank alerts into clear budgets, savings progress, and financial insight,</w:t>
      </w:r>
    </w:p>
    <w:p>
      <w:pPr>
        <w:spacing w:after="120"/>
      </w:pPr>
      <w:r>
        <w:rPr>
          <w:b/>
          <w:bCs/>
        </w:rPr>
        <w:t xml:space="preserve">unlike </w:t>
      </w:r>
      <w:r>
        <w:t xml:space="preserve">traditional budgeting apps that require manual entry and quickly get abandoned,</w:t>
      </w:r>
    </w:p>
    <w:p>
      <w:pPr>
        <w:spacing w:after="120"/>
      </w:pPr>
      <w:r>
        <w:rPr>
          <w:b/>
          <w:bCs/>
        </w:rPr>
        <w:t xml:space="preserve">Zinkro </w:t>
      </w:r>
      <w:r>
        <w:t xml:space="preserve">builds the habit of financial awareness automatically, so users build wealth without changing their behavior.</w:t>
      </w:r>
    </w:p>
    <w:p>
      <w:pPr>
        <w:pStyle w:val="Heading2"/>
      </w:pPr>
      <w:r>
        <w:t xml:space="preserve">2.3 Competitive Advantage</w:t>
      </w:r>
    </w:p>
    <w:p>
      <w:pPr>
        <w:spacing w:after="160"/>
      </w:pPr>
      <w:r>
        <w:t xml:space="preserve">Zinkro differentiates across four categories of existing financial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80"/>
        <w:gridCol w:w="1480"/>
        <w:gridCol w:w="1480"/>
        <w:gridCol w:w="1480"/>
        <w:gridCol w:w="1740"/>
      </w:tblGrid>
      <w:tr>
        <w:trPr>
          <w:tblHeader/>
        </w:trPr>
        <w:tc>
          <w:tcPr>
            <w:tcW w:type="dxa" w:w="17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Dimension</w:t>
            </w:r>
          </w:p>
        </w:tc>
        <w:tc>
          <w:tcPr>
            <w:tcW w:type="dxa" w:w="148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Budgeting Apps
(e.g. Mint-style)</w:t>
            </w:r>
          </w:p>
        </w:tc>
        <w:tc>
          <w:tcPr>
            <w:tcW w:type="dxa" w:w="148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Banking Apps</w:t>
            </w:r>
          </w:p>
        </w:tc>
        <w:tc>
          <w:tcPr>
            <w:tcW w:type="dxa" w:w="148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Finance Trackers</w:t>
            </w:r>
          </w:p>
        </w:tc>
        <w:tc>
          <w:tcPr>
            <w:tcW w:type="dxa" w:w="148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Wealth/Invest Apps</w:t>
            </w:r>
          </w:p>
        </w:tc>
        <w:tc>
          <w:tcPr>
            <w:tcW w:type="dxa" w:w="174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Zinkro</w:t>
            </w:r>
          </w:p>
        </w:tc>
      </w:tr>
      <w:tr>
        <w:tc>
          <w:tcPr>
            <w:tcW w:type="dxa" w:w="17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Data entry effort</w:t>
            </w:r>
          </w:p>
        </w:tc>
        <w:tc>
          <w:tcPr>
            <w:tcW w:type="dxa" w:w="14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High (manual)</w:t>
            </w:r>
          </w:p>
        </w:tc>
        <w:tc>
          <w:tcPr>
            <w:tcW w:type="dxa" w:w="14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N/A (single bank only)</w:t>
            </w:r>
          </w:p>
        </w:tc>
        <w:tc>
          <w:tcPr>
            <w:tcW w:type="dxa" w:w="14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High (manual)</w:t>
            </w:r>
          </w:p>
        </w:tc>
        <w:tc>
          <w:tcPr>
            <w:tcW w:type="dxa" w:w="14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Low, but narrow scope</w:t>
            </w:r>
          </w:p>
        </w:tc>
        <w:tc>
          <w:tcPr>
            <w:tcW w:type="dxa" w:w="174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None — fully automatic, multi-bank</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Cross-bank visibility</w:t>
            </w:r>
          </w:p>
        </w:tc>
        <w:tc>
          <w:tcPr>
            <w:tcW w:type="dxa" w:w="1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Limited / regional</w:t>
            </w:r>
          </w:p>
        </w:tc>
        <w:tc>
          <w:tcPr>
            <w:tcW w:type="dxa" w:w="1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Single institution</w:t>
            </w:r>
          </w:p>
        </w:tc>
        <w:tc>
          <w:tcPr>
            <w:tcW w:type="dxa" w:w="1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Limited</w:t>
            </w:r>
          </w:p>
        </w:tc>
        <w:tc>
          <w:tcPr>
            <w:tcW w:type="dxa" w:w="1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Limited</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Unified view across banks, wallets, cards</w:t>
            </w:r>
          </w:p>
        </w:tc>
      </w:tr>
      <w:tr>
        <w:tc>
          <w:tcPr>
            <w:tcW w:type="dxa" w:w="17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Categorization</w:t>
            </w:r>
          </w:p>
        </w:tc>
        <w:tc>
          <w:tcPr>
            <w:tcW w:type="dxa" w:w="14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Manual or basic rules</w:t>
            </w:r>
          </w:p>
        </w:tc>
        <w:tc>
          <w:tcPr>
            <w:tcW w:type="dxa" w:w="14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None</w:t>
            </w:r>
          </w:p>
        </w:tc>
        <w:tc>
          <w:tcPr>
            <w:tcW w:type="dxa" w:w="14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Manual</w:t>
            </w:r>
          </w:p>
        </w:tc>
        <w:tc>
          <w:tcPr>
            <w:tcW w:type="dxa" w:w="14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N/A</w:t>
            </w:r>
          </w:p>
        </w:tc>
        <w:tc>
          <w:tcPr>
            <w:tcW w:type="dxa" w:w="174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AI-powered, learns user habits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Built for emerging markets</w:t>
            </w:r>
          </w:p>
        </w:tc>
        <w:tc>
          <w:tcPr>
            <w:tcW w:type="dxa" w:w="1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Rarely</w:t>
            </w:r>
          </w:p>
        </w:tc>
        <w:tc>
          <w:tcPr>
            <w:tcW w:type="dxa" w:w="1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Yes, but siloed</w:t>
            </w:r>
          </w:p>
        </w:tc>
        <w:tc>
          <w:tcPr>
            <w:tcW w:type="dxa" w:w="1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Rarely</w:t>
            </w:r>
          </w:p>
        </w:tc>
        <w:tc>
          <w:tcPr>
            <w:tcW w:type="dxa" w:w="1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Rarely</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Designed first for emerging-market realities</w:t>
            </w:r>
          </w:p>
        </w:tc>
      </w:tr>
      <w:tr>
        <w:tc>
          <w:tcPr>
            <w:tcW w:type="dxa" w:w="17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Long-term retention</w:t>
            </w:r>
          </w:p>
        </w:tc>
        <w:tc>
          <w:tcPr>
            <w:tcW w:type="dxa" w:w="14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Low (high abandonment)</w:t>
            </w:r>
          </w:p>
        </w:tc>
        <w:tc>
          <w:tcPr>
            <w:tcW w:type="dxa" w:w="14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High (utility)</w:t>
            </w:r>
          </w:p>
        </w:tc>
        <w:tc>
          <w:tcPr>
            <w:tcW w:type="dxa" w:w="14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Low</w:t>
            </w:r>
          </w:p>
        </w:tc>
        <w:tc>
          <w:tcPr>
            <w:tcW w:type="dxa" w:w="14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Medium</w:t>
            </w:r>
          </w:p>
        </w:tc>
        <w:tc>
          <w:tcPr>
            <w:tcW w:type="dxa" w:w="174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High — value compounds without effort</w:t>
            </w:r>
          </w:p>
        </w:tc>
      </w:tr>
    </w:tbl>
    <w:p>
      <w:pPr>
        <w:pStyle w:val="Heading2"/>
      </w:pPr>
      <w:r>
        <w:t xml:space="preserve">2.4 Brand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Pillar</w:t>
            </w:r>
          </w:p>
        </w:tc>
        <w:tc>
          <w:tcPr>
            <w:tcW w:type="dxa" w:w="68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What It Means</w:t>
            </w:r>
          </w:p>
        </w:tc>
      </w:tr>
      <w:tr>
        <w:tc>
          <w:tcPr>
            <w:tcW w:type="dxa" w:w="25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Automation</w:t>
            </w:r>
          </w:p>
        </w:tc>
        <w:tc>
          <w:tcPr>
            <w:tcW w:type="dxa" w:w="68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The system does the work — capturing and categorizing transactions without manual input.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Clarity</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Complex financial data is translated into simple, honest, visual summaries.</w:t>
            </w:r>
          </w:p>
        </w:tc>
      </w:tr>
      <w:tr>
        <w:tc>
          <w:tcPr>
            <w:tcW w:type="dxa" w:w="25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Intelligence</w:t>
            </w:r>
          </w:p>
        </w:tc>
        <w:tc>
          <w:tcPr>
            <w:tcW w:type="dxa" w:w="68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AI continuously learns each user's patterns to deliver increasingly personal insights and recommendations.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Growth</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Every feature is designed to move users from awareness to action to measurable financial progress.</w:t>
            </w:r>
          </w:p>
        </w:tc>
      </w:tr>
      <w:tr>
        <w:tc>
          <w:tcPr>
            <w:tcW w:type="dxa" w:w="25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Security</w:t>
            </w:r>
          </w:p>
        </w:tc>
        <w:tc>
          <w:tcPr>
            <w:tcW w:type="dxa" w:w="68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Bank-grade protection of sensitive financial data is non-negotiable and built in from day one.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Accessibility</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Designed for real-world conditions — multiple currencies, informal income, varying levels of digital literacy.</w:t>
            </w:r>
          </w:p>
        </w:tc>
      </w:tr>
    </w:tbl>
    <w:p>
      <w:pPr>
        <w:pStyle w:val="Heading1"/>
        <w:pageBreakBefore/>
      </w:pPr>
      <w:r>
        <w:t xml:space="preserve">Section 3 — Brand Personality</w:t>
      </w:r>
    </w:p>
    <w:p>
      <w:pPr>
        <w:pStyle w:val="Heading2"/>
      </w:pPr>
      <w:r>
        <w:t xml:space="preserve">3.1 Brand Human Profile</w:t>
      </w:r>
    </w:p>
    <w:p>
      <w:pPr>
        <w:spacing w:after="160"/>
      </w:pPr>
      <w:r>
        <w:t xml:space="preserve">If Zinkro were a person, they would be in their early thirties — old enough to have learned financial lessons the hard way, young enough to be fluent in technology and culturally current. They are the friend everyone goes to for financial advice, not because they're wealthy, but because they're calm, organized, and explain things without making anyone feel judged.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Trait</w:t>
            </w:r>
          </w:p>
        </w:tc>
        <w:tc>
          <w:tcPr>
            <w:tcW w:type="dxa" w:w="68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Age (perceived)</w:t>
            </w:r>
          </w:p>
        </w:tc>
        <w:tc>
          <w:tcPr>
            <w:tcW w:type="dxa" w:w="68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Early-to-mid 30s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Behavior</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Organized, quietly confident, proactive — checks in before problems become crises</w:t>
            </w:r>
          </w:p>
        </w:tc>
      </w:tr>
      <w:tr>
        <w:tc>
          <w:tcPr>
            <w:tcW w:type="dxa" w:w="25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Communication style</w:t>
            </w:r>
          </w:p>
        </w:tc>
        <w:tc>
          <w:tcPr>
            <w:tcW w:type="dxa" w:w="68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Clear, warm, direct. Explains the 'why' behind every number. Never condescending.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Values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Honesty, progress over perfection, quiet competence, long-term thinking</w:t>
            </w:r>
          </w:p>
        </w:tc>
      </w:tr>
    </w:tbl>
    <w:p>
      <w:pPr>
        <w:pStyle w:val="Heading2"/>
      </w:pPr>
      <w:r>
        <w:t xml:space="preserve">3.2 Personality Attributes</w:t>
      </w:r>
    </w:p>
    <w:p>
      <w:pPr>
        <w:spacing w:after="160"/>
      </w:pPr>
      <w:r>
        <w:t xml:space="preserve">Zinkro's personality can be described through twelve core attributes:</w:t>
      </w:r>
    </w:p>
    <w:p>
      <w:pPr>
        <w:pStyle w:val="ListParagraph"/>
        <w:numPr>
          <w:ilvl w:val="0"/>
          <w:numId w:val="2"/>
        </w:numPr>
        <w:spacing w:after="80"/>
      </w:pPr>
      <w:r>
        <w:t xml:space="preserve">Intelligent — sees patterns users miss</w:t>
      </w:r>
    </w:p>
    <w:p>
      <w:pPr>
        <w:pStyle w:val="ListParagraph"/>
        <w:numPr>
          <w:ilvl w:val="0"/>
          <w:numId w:val="2"/>
        </w:numPr>
        <w:spacing w:after="80"/>
      </w:pPr>
      <w:r>
        <w:t xml:space="preserve">Reliable — works the same way, every day, without fail</w:t>
      </w:r>
    </w:p>
    <w:p>
      <w:pPr>
        <w:pStyle w:val="ListParagraph"/>
        <w:numPr>
          <w:ilvl w:val="0"/>
          <w:numId w:val="2"/>
        </w:numPr>
        <w:spacing w:after="80"/>
      </w:pPr>
      <w:r>
        <w:t xml:space="preserve">Modern — current with how people actually live and pay</w:t>
      </w:r>
    </w:p>
    <w:p>
      <w:pPr>
        <w:pStyle w:val="ListParagraph"/>
        <w:numPr>
          <w:ilvl w:val="0"/>
          <w:numId w:val="2"/>
        </w:numPr>
        <w:spacing w:after="80"/>
      </w:pPr>
      <w:r>
        <w:t xml:space="preserve">Calm — never alarmist, even when delivering hard truths</w:t>
      </w:r>
    </w:p>
    <w:p>
      <w:pPr>
        <w:pStyle w:val="ListParagraph"/>
        <w:numPr>
          <w:ilvl w:val="0"/>
          <w:numId w:val="2"/>
        </w:numPr>
        <w:spacing w:after="80"/>
      </w:pPr>
      <w:r>
        <w:t xml:space="preserve">Confident — states facts plainly, backed by data</w:t>
      </w:r>
    </w:p>
    <w:p>
      <w:pPr>
        <w:pStyle w:val="ListParagraph"/>
        <w:numPr>
          <w:ilvl w:val="0"/>
          <w:numId w:val="2"/>
        </w:numPr>
        <w:spacing w:after="80"/>
      </w:pPr>
      <w:r>
        <w:t xml:space="preserve">Ambitious — for the user's future, not just the product's growth</w:t>
      </w:r>
    </w:p>
    <w:p>
      <w:pPr>
        <w:pStyle w:val="ListParagraph"/>
        <w:numPr>
          <w:ilvl w:val="0"/>
          <w:numId w:val="2"/>
        </w:numPr>
        <w:spacing w:after="80"/>
      </w:pPr>
      <w:r>
        <w:t xml:space="preserve">Empathetic — understands financial stress without dwelling on it</w:t>
      </w:r>
    </w:p>
    <w:p>
      <w:pPr>
        <w:pStyle w:val="ListParagraph"/>
        <w:numPr>
          <w:ilvl w:val="0"/>
          <w:numId w:val="2"/>
        </w:numPr>
        <w:spacing w:after="80"/>
      </w:pPr>
      <w:r>
        <w:t xml:space="preserve">Precise — exact figures, exact categories, no vague summaries</w:t>
      </w:r>
    </w:p>
    <w:p>
      <w:pPr>
        <w:pStyle w:val="ListParagraph"/>
        <w:numPr>
          <w:ilvl w:val="0"/>
          <w:numId w:val="2"/>
        </w:numPr>
        <w:spacing w:after="80"/>
      </w:pPr>
      <w:r>
        <w:t xml:space="preserve">Approachable — never uses jargon that excludes anyone</w:t>
      </w:r>
    </w:p>
    <w:p>
      <w:pPr>
        <w:pStyle w:val="ListParagraph"/>
        <w:numPr>
          <w:ilvl w:val="0"/>
          <w:numId w:val="2"/>
        </w:numPr>
        <w:spacing w:after="80"/>
      </w:pPr>
      <w:r>
        <w:t xml:space="preserve">Forward-thinking — always nudging toward the next goal</w:t>
      </w:r>
    </w:p>
    <w:p>
      <w:pPr>
        <w:pStyle w:val="ListParagraph"/>
        <w:numPr>
          <w:ilvl w:val="0"/>
          <w:numId w:val="2"/>
        </w:numPr>
        <w:spacing w:after="80"/>
      </w:pPr>
      <w:r>
        <w:t xml:space="preserve">Disciplined — consistent, structured, dependable</w:t>
      </w:r>
    </w:p>
    <w:p>
      <w:pPr>
        <w:pStyle w:val="ListParagraph"/>
        <w:numPr>
          <w:ilvl w:val="0"/>
          <w:numId w:val="2"/>
        </w:numPr>
        <w:spacing w:after="80"/>
      </w:pPr>
      <w:r>
        <w:t xml:space="preserve">Optimistic — frames progress positively, even small wins</w:t>
      </w:r>
    </w:p>
    <w:p>
      <w:pPr>
        <w:pStyle w:val="Heading2"/>
      </w:pPr>
      <w:r>
        <w:t xml:space="preserve">3.3 Personality Spectrum</w:t>
      </w:r>
    </w:p>
    <w:p>
      <w:pPr>
        <w:spacing w:after="160"/>
      </w:pPr>
      <w:r>
        <w:t xml:space="preserve">Zinkro's tone is deliberately positioned at specific points along five key spectrums: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Spectrum</w:t>
            </w:r>
          </w:p>
        </w:tc>
        <w:tc>
          <w:tcPr>
            <w:tcW w:type="dxa" w:w="18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Position</w:t>
            </w:r>
          </w:p>
        </w:tc>
        <w:tc>
          <w:tcPr>
            <w:tcW w:type="dxa" w:w="51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Rationale</w:t>
            </w:r>
          </w:p>
        </w:tc>
      </w:tr>
      <w:tr>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Corporate ↔ Human</w:t>
            </w:r>
          </w:p>
        </w:tc>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70% Human</w:t>
            </w:r>
          </w:p>
        </w:tc>
        <w:tc>
          <w:tcPr>
            <w:tcW w:type="dxa" w:w="51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Warm and conversational, but credible enough to be trusted with money.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Premium ↔ Accessible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60% Accessible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Feels high-quality without feeling exclusive or intimidating.</w:t>
            </w:r>
          </w:p>
        </w:tc>
      </w:tr>
      <w:tr>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Serious ↔ Friendly</w:t>
            </w:r>
          </w:p>
        </w:tc>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55% Friendly</w:t>
            </w:r>
          </w:p>
        </w:tc>
        <w:tc>
          <w:tcPr>
            <w:tcW w:type="dxa" w:w="51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Takes finance seriously, but never feels like a lecture.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Technical ↔ Simple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80% Simple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Complex AI and financial logic hidden behind plain language.</w:t>
            </w:r>
          </w:p>
        </w:tc>
      </w:tr>
      <w:tr>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Bold ↔ Conservative</w:t>
            </w:r>
          </w:p>
        </w:tc>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65% Bold</w:t>
            </w:r>
          </w:p>
        </w:tc>
        <w:tc>
          <w:tcPr>
            <w:tcW w:type="dxa" w:w="51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Confident visual identity and voice; conservative only in how it handles user data and money.</w:t>
            </w:r>
          </w:p>
        </w:tc>
      </w:tr>
    </w:tbl>
    <w:p>
      <w:pPr>
        <w:pStyle w:val="Heading1"/>
        <w:pageBreakBefore/>
      </w:pPr>
      <w:r>
        <w:t xml:space="preserve">Section 4 — Naming Strategy</w:t>
      </w:r>
    </w:p>
    <w:p>
      <w:pPr>
        <w:pStyle w:val="Heading2"/>
      </w:pPr>
      <w:r>
        <w:t xml:space="preserve">4.1 Analysis of “Zinkro”</w:t>
      </w:r>
    </w:p>
    <w:p>
      <w:pPr>
        <w:spacing w:after="120"/>
      </w:pPr>
      <w:r>
        <w:rPr>
          <w:b/>
          <w:bCs/>
        </w:rPr>
        <w:t xml:space="preserve">Meaning: </w:t>
      </w:r>
      <w:r>
        <w:t xml:space="preserve">Zinkro is built around the concept of a “tally” — the idea of automatically keeping count of every transaction, every spend, every saving. The name carries that meaning without being a literal dictionary word, giving it room to grow into a much broader financial ecosystem (budgeting, savings, credit, investing) without feeling mismatched.</w:t>
      </w:r>
    </w:p>
    <w:p>
      <w:pPr>
        <w:spacing w:after="120"/>
      </w:pPr>
      <w:r>
        <w:rPr>
          <w:b/>
          <w:bCs/>
        </w:rPr>
        <w:t xml:space="preserve">Perceived Strength: </w:t>
      </w:r>
      <w:r>
        <w:t xml:space="preserve">The hard “Z” and “K” sounds give the name an energetic, technological edge — consistent with brands like Zelle, Klarna, Stripe, and Revolut, all of which use crisp consonants to signal speed and modernity.</w:t>
      </w:r>
    </w:p>
    <w:p>
      <w:pPr>
        <w:spacing w:after="120"/>
      </w:pPr>
      <w:r>
        <w:rPr>
          <w:b/>
          <w:bCs/>
        </w:rPr>
        <w:t xml:space="preserve">Memorability: </w:t>
      </w:r>
      <w:r>
        <w:t xml:space="preserve">At two syllables and six letters, Zinkro is short enough to type quickly, fits comfortably as an app icon label, and is distinctive enough to dominate search results and app-store listings without competition from existing brands.</w:t>
      </w:r>
    </w:p>
    <w:p>
      <w:pPr>
        <w:spacing w:after="120"/>
      </w:pPr>
      <w:r>
        <w:rPr>
          <w:b/>
          <w:bCs/>
        </w:rPr>
        <w:t xml:space="preserve">Phonetics: </w:t>
      </w:r>
      <w:r>
        <w:t xml:space="preserve">“ZINK-roh” is straightforward to pronounce across English, French, Swahili, Yoruba, Hausa, Arabic, and most Romance and Bantu language phonetic systems, reducing localization friction as the brand expands.</w:t>
      </w:r>
    </w:p>
    <w:p>
      <w:pPr>
        <w:spacing w:after="120"/>
      </w:pPr>
      <w:r>
        <w:rPr>
          <w:b/>
          <w:bCs/>
        </w:rPr>
        <w:t xml:space="preserve">Global Adaptability: </w:t>
      </w:r>
      <w:r>
        <w:t xml:space="preserve">The name has no negative or awkward meanings in major world languages (a standard check for international fintech naming), and its invented nature means it carries no pre-existing baggage — Zinkro can define what “Zinkro” means, rather than working against an existing association.</w:t>
      </w:r>
    </w:p>
    <w:p>
      <w:pPr>
        <w:spacing w:after="120"/>
      </w:pPr>
      <w:r>
        <w:rPr>
          <w:b/>
          <w:bCs/>
        </w:rPr>
        <w:t xml:space="preserve">Brand Equity Potential: </w:t>
      </w:r>
      <w:r>
        <w:t xml:space="preserve">As an invented word, Zinkro is fully ownable as a trademark and domain across categories and geographies. Its structure (Zin + kro) also supports a natural sub-brand architecture — Zinkro Pay, Zinkro Wealth, Zinkro Business — without needing awkward name extensions (see Section 18).</w:t>
      </w:r>
    </w:p>
    <w:p>
      <w:pPr>
        <w:pStyle w:val="Heading1"/>
        <w:pageBreakBefore/>
      </w:pPr>
      <w:r>
        <w:t xml:space="preserve">Section 5 — Visual Identity System</w:t>
      </w:r>
    </w:p>
    <w:p>
      <w:pPr>
        <w:pStyle w:val="Heading2"/>
      </w:pPr>
      <w:r>
        <w:t xml:space="preserve">5.1 Logo Strategy</w:t>
      </w:r>
    </w:p>
    <w:p>
      <w:pPr>
        <w:spacing w:after="160"/>
      </w:pPr>
      <w:r>
        <w:t xml:space="preserve">Zinkro's identity is built around a single core mark — the Pulse Bracket — designed to work as a circular badge, a square app icon, a solid gradient mark, and in a horizontal lockup with the wordmark. This single, flexible system reduces the complexity of “ten different logos” into one coherent symbol that adapts cleanly across every surface: app icon, splash screen, website header, social avatar, and print collateral.</w:t>
      </w:r>
    </w:p>
    <w:p>
      <w:pPr>
        <w:pStyle w:val="Heading2"/>
      </w:pPr>
      <w:r>
        <w:t xml:space="preserve">5.2 Symbol Meaning</w:t>
      </w:r>
    </w:p>
    <w:p>
      <w:pPr>
        <w:pStyle w:val="ListParagraph"/>
        <w:numPr>
          <w:ilvl w:val="0"/>
          <w:numId w:val="2"/>
        </w:numPr>
        <w:spacing w:after="80"/>
      </w:pPr>
      <w:r>
        <w:t xml:space="preserve">The two brackets represent Zinkro automatically capturing and containing financial activity from any source — SMS, email, bank API — without the user lifting a finger.</w:t>
      </w:r>
    </w:p>
    <w:p>
      <w:pPr>
        <w:pStyle w:val="ListParagraph"/>
        <w:numPr>
          <w:ilvl w:val="0"/>
          <w:numId w:val="2"/>
        </w:numPr>
        <w:spacing w:after="80"/>
      </w:pPr>
      <w:r>
        <w:t xml:space="preserve">The pulse line between the brackets represents the rhythm of a user's financial life: income, spending, saving, rendered as a single continuous, readable signal.</w:t>
      </w:r>
    </w:p>
    <w:p>
      <w:pPr>
        <w:pStyle w:val="ListParagraph"/>
        <w:numPr>
          <w:ilvl w:val="0"/>
          <w:numId w:val="2"/>
        </w:numPr>
        <w:spacing w:after="80"/>
      </w:pPr>
      <w:r>
        <w:t xml:space="preserve">The blue-to-teal gradient represents the brand's emotional arc — moving from trust and stability (blue) toward growth and progress (teal).</w:t>
      </w:r>
    </w:p>
    <w:p>
      <w:pPr>
        <w:pStyle w:val="Heading2"/>
      </w:pPr>
      <w:r>
        <w:t xml:space="preserve">5.3 Primary Logo Lockup</w:t>
      </w:r>
    </w:p>
    <w:p>
      <w:pPr>
        <w:spacing w:after="80" w:before="120"/>
        <w:jc w:val="center"/>
      </w:pPr>
      <w:r>
        <w:drawing>
          <wp:inline distT="0" distB="0" distL="0" distR="0">
            <wp:extent cx="428625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1371600"/>
                    </a:xfrm>
                    <a:prstGeom prst="rect">
                      <a:avLst/>
                    </a:prstGeom>
                  </pic:spPr>
                </pic:pic>
              </a:graphicData>
            </a:graphic>
          </wp:inline>
        </w:drawing>
      </w:r>
    </w:p>
    <w:p>
      <w:pPr>
        <w:spacing w:after="160"/>
      </w:pPr>
      <w:r>
        <w:t xml:space="preserve">Primary usage: app headers, website navigation, splash screens, presentation covers, business cards, and any application where the full brand name should be visible alongside the icon.</w:t>
      </w:r>
    </w:p>
    <w:p>
      <w:pPr>
        <w:pStyle w:val="Heading2"/>
      </w:pPr>
      <w:r>
        <w:t xml:space="preserve">5.4 Icon System</w:t>
      </w:r>
    </w:p>
    <w:p>
      <w:pPr>
        <w:spacing w:after="80" w:before="12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38250" cy="1238250"/>
                    </a:xfrm>
                    <a:prstGeom prst="rect">
                      <a:avLst/>
                    </a:prstGeom>
                  </pic:spPr>
                </pic:pic>
              </a:graphicData>
            </a:graphic>
          </wp:inline>
        </w:drawing>
      </w:r>
      <w:r>
        <w:t xml:space="preserve">      </w:t>
      </w: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1238250"/>
                    </a:xfrm>
                    <a:prstGeom prst="rect">
                      <a:avLst/>
                    </a:prstGeom>
                  </pic:spPr>
                </pic:pic>
              </a:graphicData>
            </a:graphic>
          </wp:inline>
        </w:drawing>
      </w:r>
      <w:r>
        <w:t xml:space="preserve">      </w:t>
      </w: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38250" cy="12382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Variant</w:t>
            </w:r>
          </w:p>
        </w:tc>
        <w:tc>
          <w:tcPr>
            <w:tcW w:type="dxa" w:w="61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Primary Use Case</w:t>
            </w:r>
          </w:p>
        </w:tc>
      </w:tr>
      <w:tr>
        <w:tc>
          <w:tcPr>
            <w:tcW w:type="dxa" w:w="3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Circular Badge</w:t>
            </w:r>
          </w:p>
        </w:tc>
        <w:tc>
          <w:tcPr>
            <w:tcW w:type="dxa" w:w="61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Social media profile photos, app onboarding, partner co-branding, favicon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Square Tile (App Icon)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iOS/Android home screen icon, app store listings</w:t>
            </w:r>
          </w:p>
        </w:tc>
      </w:tr>
      <w:tr>
        <w:tc>
          <w:tcPr>
            <w:tcW w:type="dxa" w:w="3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Solid Gradient Mark</w:t>
            </w:r>
          </w:p>
        </w:tc>
        <w:tc>
          <w:tcPr>
            <w:tcW w:type="dxa" w:w="61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Splash screens, loading states, small-scale or single-color print applications</w:t>
            </w:r>
          </w:p>
        </w:tc>
      </w:tr>
    </w:tbl>
    <w:p>
      <w:pPr>
        <w:pStyle w:val="Heading2"/>
      </w:pPr>
      <w:r>
        <w:t xml:space="preserve">5.5 Construction, Grid &amp; Clear Space</w:t>
      </w:r>
    </w:p>
    <w:p>
      <w:pPr>
        <w:pStyle w:val="ListParagraph"/>
        <w:numPr>
          <w:ilvl w:val="0"/>
          <w:numId w:val="2"/>
        </w:numPr>
        <w:spacing w:after="80"/>
      </w:pPr>
      <w:r>
        <w:t xml:space="preserve">Clear space: maintain a minimum clear space around the icon equal to the height of one bracket arm on all sides — no text, imagery, or other elements should intrude.</w:t>
      </w:r>
    </w:p>
    <w:p>
      <w:pPr>
        <w:pStyle w:val="ListParagraph"/>
        <w:numPr>
          <w:ilvl w:val="0"/>
          <w:numId w:val="2"/>
        </w:numPr>
        <w:spacing w:after="80"/>
      </w:pPr>
      <w:r>
        <w:t xml:space="preserve">Minimum size: the circular badge and square tile must not be reproduced smaller than 24px (digital) or 10mm (print) to preserve legibility of the pulse line.</w:t>
      </w:r>
    </w:p>
    <w:p>
      <w:pPr>
        <w:pStyle w:val="ListParagraph"/>
        <w:numPr>
          <w:ilvl w:val="0"/>
          <w:numId w:val="2"/>
        </w:numPr>
        <w:spacing w:after="80"/>
      </w:pPr>
      <w:r>
        <w:t xml:space="preserve">Grid: the icon is constructed on an underlying 180x180 unit grid, with the brackets and pulse line aligned to consistent stroke widths (9-11 units) for visual consistency across sizes.</w:t>
      </w:r>
    </w:p>
    <w:p>
      <w:pPr>
        <w:pStyle w:val="ListParagraph"/>
        <w:numPr>
          <w:ilvl w:val="0"/>
          <w:numId w:val="2"/>
        </w:numPr>
        <w:spacing w:after="80"/>
      </w:pPr>
      <w:r>
        <w:t xml:space="preserve">Backgrounds: the circular badge and lockup are designed primarily for dark (#0F1115) backgrounds; the solid gradient mark is designed for use on light or neutral backgrounds where higher contrast is needed.</w:t>
      </w:r>
    </w:p>
    <w:p>
      <w:pPr>
        <w:pStyle w:val="Heading1"/>
        <w:pageBreakBefore/>
      </w:pPr>
      <w:r>
        <w:t xml:space="preserve">Section 6 — Logo Concept Exploration</w:t>
      </w:r>
    </w:p>
    <w:p>
      <w:pPr>
        <w:pStyle w:val="Heading2"/>
      </w:pPr>
      <w:r>
        <w:t xml:space="preserve">6.1 Selected Direction: Pulse Bracket</w:t>
      </w:r>
    </w:p>
    <w:p>
      <w:pPr>
        <w:spacing w:after="160"/>
      </w:pPr>
      <w:r>
        <w:t xml:space="preserve">The Pulse Bracket was selected as Zinkro's primary mark after evaluating it against nine alternative directions (summarized below). It was chosen because it is the only concept that visually communicates both halves of Zinkro's core promise in a single mark: automatic capture (the brackets) and financial intelligence (the pulse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Criteria</w:t>
            </w:r>
          </w:p>
        </w:tc>
        <w:tc>
          <w:tcPr>
            <w:tcW w:type="dxa" w:w="68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Assessment</w:t>
            </w:r>
          </w:p>
        </w:tc>
      </w:tr>
      <w:tr>
        <w:tc>
          <w:tcPr>
            <w:tcW w:type="dxa" w:w="25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Symbol meaning</w:t>
            </w:r>
          </w:p>
        </w:tc>
        <w:tc>
          <w:tcPr>
            <w:tcW w:type="dxa" w:w="68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Brackets = automatic capture of transactions; pulse = financial activity and growth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Psychological meaning</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Conveys structure and containment (trust, security) combined with motion and life (growth, progress)</w:t>
            </w:r>
          </w:p>
        </w:tc>
      </w:tr>
      <w:tr>
        <w:tc>
          <w:tcPr>
            <w:tcW w:type="dxa" w:w="25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Competitive advantage</w:t>
            </w:r>
          </w:p>
        </w:tc>
        <w:tc>
          <w:tcPr>
            <w:tcW w:type="dxa" w:w="68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No major fintech competitor uses a bracket+pulse combination; highly distinctive at a glance, even at favicon size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Scalability</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Reads clearly from a 16px favicon to a building-sized billboard</w:t>
            </w:r>
          </w:p>
        </w:tc>
      </w:tr>
    </w:tbl>
    <w:p>
      <w:pPr>
        <w:pStyle w:val="Heading2"/>
      </w:pPr>
      <w:r>
        <w:t xml:space="preserve">6.2 Alternative Concepts Considered</w:t>
      </w:r>
    </w:p>
    <w:p>
      <w:pPr>
        <w:spacing w:after="160"/>
      </w:pPr>
      <w:r>
        <w:t xml:space="preserve">For governance and historical reference, the following alternative directions were explored during the identity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700"/>
        <w:gridCol w:w="2560"/>
      </w:tblGrid>
      <w:tr>
        <w:trPr>
          <w:tblHeader/>
        </w:trPr>
        <w:tc>
          <w:tcPr>
            <w:tcW w:type="dxa" w:w="17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Concept</w:t>
            </w:r>
          </w:p>
        </w:tc>
        <w:tc>
          <w:tcPr>
            <w:tcW w:type="dxa" w:w="24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Symbol</w:t>
            </w:r>
          </w:p>
        </w:tc>
        <w:tc>
          <w:tcPr>
            <w:tcW w:type="dxa" w:w="27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Rationale</w:t>
            </w:r>
          </w:p>
        </w:tc>
        <w:tc>
          <w:tcPr>
            <w:tcW w:type="dxa" w:w="25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Reason Not Selected</w:t>
            </w:r>
          </w:p>
        </w:tc>
      </w:tr>
      <w:tr>
        <w:tc>
          <w:tcPr>
            <w:tcW w:type="dxa" w:w="17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Tally Mark Z</w:t>
            </w:r>
          </w:p>
        </w:tc>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Vertical bars with diagonal slash forming a 'Z' tally</w:t>
            </w:r>
          </w:p>
        </w:tc>
        <w:tc>
          <w:tcPr>
            <w:tcW w:type="dxa" w:w="27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Most literal connection to 'tally' meaning behind the name</w:t>
            </w:r>
          </w:p>
        </w:tc>
        <w:tc>
          <w:tcPr>
            <w:tcW w:type="dxa" w:w="25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Felt static; didn't represent the AI/automation dimension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Geometric Z Monogram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Angular Z shape with a coin-dot accent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Strong, ownable letterform; very brandable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Too close to generic tech-startup monogram conventions</w:t>
            </w:r>
          </w:p>
        </w:tc>
      </w:tr>
      <w:tr>
        <w:tc>
          <w:tcPr>
            <w:tcW w:type="dxa" w:w="17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Coin Badge</w:t>
            </w:r>
          </w:p>
        </w:tc>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Circular badge with stylized wallet/coin icon</w:t>
            </w:r>
          </w:p>
        </w:tc>
        <w:tc>
          <w:tcPr>
            <w:tcW w:type="dxa" w:w="27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Direct, universal money association</w:t>
            </w:r>
          </w:p>
        </w:tc>
        <w:tc>
          <w:tcPr>
            <w:tcW w:type="dxa" w:w="25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Too literal; common across budgeting app category</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Growth Arrow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Upward diagonal arrow integrated into wordmark</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Communicates financial growth instantly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Overused across investment and trading app category</w:t>
            </w:r>
          </w:p>
        </w:tc>
      </w:tr>
      <w:tr>
        <w:tc>
          <w:tcPr>
            <w:tcW w:type="dxa" w:w="17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Financial Compass</w:t>
            </w:r>
          </w:p>
        </w:tc>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Compass needle pointing to a goal marker</w:t>
            </w:r>
          </w:p>
        </w:tc>
        <w:tc>
          <w:tcPr>
            <w:tcW w:type="dxa" w:w="27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Implies guidance and direction toward goals</w:t>
            </w:r>
          </w:p>
        </w:tc>
        <w:tc>
          <w:tcPr>
            <w:tcW w:type="dxa" w:w="25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Compass motif strongly associated with travel/navigation apps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Smart Ledger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Stylized open book/ledger with a circuit pattern</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Bridges traditional bookkeeping with AI</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Felt visually dated despite the circuit treatment</w:t>
            </w:r>
          </w:p>
        </w:tc>
      </w:tr>
      <w:tr>
        <w:tc>
          <w:tcPr>
            <w:tcW w:type="dxa" w:w="17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Infinite Wealth Loop</w:t>
            </w:r>
          </w:p>
        </w:tc>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Infinity symbol formed from a flowing line</w:t>
            </w:r>
          </w:p>
        </w:tc>
        <w:tc>
          <w:tcPr>
            <w:tcW w:type="dxa" w:w="27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Suggests continuous growth and automation</w:t>
            </w:r>
          </w:p>
        </w:tc>
        <w:tc>
          <w:tcPr>
            <w:tcW w:type="dxa" w:w="25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Infinity symbol heavily used across crypto/DeFi branding</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Wealth Tree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Abstract tree with coin-shaped leaves</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Warm, growth-oriented, approachable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Organic style clashed with the sleek-tech positioning</w:t>
            </w:r>
          </w:p>
        </w:tc>
      </w:tr>
      <w:tr>
        <w:tc>
          <w:tcPr>
            <w:tcW w:type="dxa" w:w="17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Digital Vault</w:t>
            </w:r>
          </w:p>
        </w:tc>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Geometric vault door with a glowing seam</w:t>
            </w:r>
          </w:p>
        </w:tc>
        <w:tc>
          <w:tcPr>
            <w:tcW w:type="dxa" w:w="27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Strong security signal</w:t>
            </w:r>
          </w:p>
        </w:tc>
        <w:tc>
          <w:tcPr>
            <w:tcW w:type="dxa" w:w="25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Felt too 'banking' and less approachable</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Financial Orbit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Dot orbiting a central node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Suggests an ecosystem of connected financial tools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Too abstract; didn't test well for brand recall</w:t>
            </w:r>
          </w:p>
        </w:tc>
      </w:tr>
    </w:tbl>
    <w:p>
      <w:pPr>
        <w:pStyle w:val="Heading1"/>
        <w:pageBreakBefore/>
      </w:pPr>
      <w:r>
        <w:t xml:space="preserve">Section 7 — Color System</w:t>
      </w:r>
    </w:p>
    <w:p>
      <w:pPr>
        <w:spacing w:after="160"/>
      </w:pPr>
      <w:r>
        <w:t xml:space="preserve">CMYK values are calculated approximations for print planning. Pantone references (marked ~) are closest visual matches for early-stage design and should be verified against a physical Pantone Bridge guide before final print production.</w:t>
      </w:r>
    </w:p>
    <w:p>
      <w:pPr>
        <w:pStyle w:val="Heading2"/>
      </w:pPr>
      <w:r>
        <w:t xml:space="preserve">7.1 Primary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1280"/>
        <w:gridCol w:w="1000"/>
        <w:gridCol w:w="1450"/>
        <w:gridCol w:w="1450"/>
        <w:gridCol w:w="1300"/>
        <w:gridCol w:w="2060"/>
      </w:tblGrid>
      <w:tr>
        <w:trPr>
          <w:tblHeader/>
        </w:trPr>
        <w:tc>
          <w:tcPr>
            <w:tcW w:type="dxa" w:w="82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Swatch</w:t>
            </w:r>
          </w:p>
        </w:tc>
        <w:tc>
          <w:tcPr>
            <w:tcW w:type="dxa" w:w="128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Color</w:t>
            </w:r>
          </w:p>
        </w:tc>
        <w:tc>
          <w:tcPr>
            <w:tcW w:type="dxa" w:w="10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HEX</w:t>
            </w:r>
          </w:p>
        </w:tc>
        <w:tc>
          <w:tcPr>
            <w:tcW w:type="dxa" w:w="145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RGB</w:t>
            </w:r>
          </w:p>
        </w:tc>
        <w:tc>
          <w:tcPr>
            <w:tcW w:type="dxa" w:w="145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CMYK*</w:t>
            </w:r>
          </w:p>
        </w:tc>
        <w:tc>
          <w:tcPr>
            <w:tcW w:type="dxa" w:w="13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Pantone~</w:t>
            </w:r>
          </w:p>
        </w:tc>
        <w:tc>
          <w:tcPr>
            <w:tcW w:type="dxa" w:w="20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Usage</w:t>
            </w:r>
          </w:p>
        </w:tc>
      </w:tr>
      <w:tr>
        <w:tc>
          <w:tcPr>
            <w:tcW w:type="dxa" w:w="82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Charcoal (Base)</w:t>
            </w:r>
          </w:p>
        </w:tc>
        <w:tc>
          <w:tcPr>
            <w:tcW w:type="dxa" w:w="1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#0F1115</w:t>
            </w:r>
          </w:p>
        </w:tc>
        <w:tc>
          <w:tcPr>
            <w:tcW w:type="dxa" w:w="145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15, 17, 21</w:t>
            </w:r>
          </w:p>
        </w:tc>
        <w:tc>
          <w:tcPr>
            <w:tcW w:type="dxa" w:w="145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29, 19, 0, 92</w:t>
            </w:r>
          </w:p>
        </w:tc>
        <w:tc>
          <w:tcPr>
            <w:tcW w:type="dxa" w:w="13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Black 6 C</w:t>
            </w:r>
          </w:p>
        </w:tc>
        <w:tc>
          <w:tcPr>
            <w:tcW w:type="dxa" w:w="20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Primary background, dark mode base, premium foundation</w:t>
            </w:r>
          </w:p>
        </w:tc>
      </w:tr>
      <w:tr>
        <w:tc>
          <w:tcPr>
            <w:tcW w:type="dxa" w:w="820"/>
            <w:tcBorders>
              <w:top w:val="single" w:color="CCCCCC" w:sz="1"/>
              <w:left w:val="single" w:color="CCCCCC" w:sz="1"/>
              <w:bottom w:val="single" w:color="CCCCCC" w:sz="1"/>
              <w:right w:val="single" w:color="CCCCCC" w:sz="1"/>
            </w:tcBorders>
            <w:shd w:fill="3D7FFF"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Electric Blue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#3D7FFF</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61, 127, 255</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76, 50, 0, 0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2728 C</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Primary actions, links, active states, brand recognition</w:t>
            </w:r>
          </w:p>
        </w:tc>
      </w:tr>
      <w:tr>
        <w:tc>
          <w:tcPr>
            <w:tcW w:type="dxa" w:w="820"/>
            <w:tcBorders>
              <w:top w:val="single" w:color="CCCCCC" w:sz="1"/>
              <w:left w:val="single" w:color="CCCCCC" w:sz="1"/>
              <w:bottom w:val="single" w:color="CCCCCC" w:sz="1"/>
              <w:right w:val="single" w:color="CCCCCC" w:sz="1"/>
            </w:tcBorders>
            <w:shd w:fill="00D4D4"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Teal / Cyan</w:t>
            </w:r>
          </w:p>
        </w:tc>
        <w:tc>
          <w:tcPr>
            <w:tcW w:type="dxa" w:w="1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#00D4D4</w:t>
            </w:r>
          </w:p>
        </w:tc>
        <w:tc>
          <w:tcPr>
            <w:tcW w:type="dxa" w:w="145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0, 212, 212</w:t>
            </w:r>
          </w:p>
        </w:tc>
        <w:tc>
          <w:tcPr>
            <w:tcW w:type="dxa" w:w="145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100, 0, 0, 17</w:t>
            </w:r>
          </w:p>
        </w:tc>
        <w:tc>
          <w:tcPr>
            <w:tcW w:type="dxa" w:w="13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3115 C</w:t>
            </w:r>
          </w:p>
        </w:tc>
        <w:tc>
          <w:tcPr>
            <w:tcW w:type="dxa" w:w="20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Secondary accent, growth indicators, gradients</w:t>
            </w:r>
          </w:p>
        </w:tc>
      </w:tr>
    </w:tbl>
    <w:p>
      <w:pPr>
        <w:pStyle w:val="Heading2"/>
      </w:pPr>
      <w:r>
        <w:t xml:space="preserve">7.2 Secondary / Neutral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1280"/>
        <w:gridCol w:w="1000"/>
        <w:gridCol w:w="1450"/>
        <w:gridCol w:w="1450"/>
        <w:gridCol w:w="1300"/>
        <w:gridCol w:w="2060"/>
      </w:tblGrid>
      <w:tr>
        <w:trPr>
          <w:tblHeader/>
        </w:trPr>
        <w:tc>
          <w:tcPr>
            <w:tcW w:type="dxa" w:w="82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Swatch</w:t>
            </w:r>
          </w:p>
        </w:tc>
        <w:tc>
          <w:tcPr>
            <w:tcW w:type="dxa" w:w="128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Color</w:t>
            </w:r>
          </w:p>
        </w:tc>
        <w:tc>
          <w:tcPr>
            <w:tcW w:type="dxa" w:w="10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HEX</w:t>
            </w:r>
          </w:p>
        </w:tc>
        <w:tc>
          <w:tcPr>
            <w:tcW w:type="dxa" w:w="145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RGB</w:t>
            </w:r>
          </w:p>
        </w:tc>
        <w:tc>
          <w:tcPr>
            <w:tcW w:type="dxa" w:w="145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CMYK*</w:t>
            </w:r>
          </w:p>
        </w:tc>
        <w:tc>
          <w:tcPr>
            <w:tcW w:type="dxa" w:w="13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Pantone~</w:t>
            </w:r>
          </w:p>
        </w:tc>
        <w:tc>
          <w:tcPr>
            <w:tcW w:type="dxa" w:w="20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Usage</w:t>
            </w:r>
          </w:p>
        </w:tc>
      </w:tr>
      <w:tr>
        <w:tc>
          <w:tcPr>
            <w:tcW w:type="dxa" w:w="82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Off-White</w:t>
            </w:r>
          </w:p>
        </w:tc>
        <w:tc>
          <w:tcPr>
            <w:tcW w:type="dxa" w:w="1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#F5F6FA</w:t>
            </w:r>
          </w:p>
        </w:tc>
        <w:tc>
          <w:tcPr>
            <w:tcW w:type="dxa" w:w="145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245, 246, 250</w:t>
            </w:r>
          </w:p>
        </w:tc>
        <w:tc>
          <w:tcPr>
            <w:tcW w:type="dxa" w:w="145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2, 2, 0, 2</w:t>
            </w:r>
          </w:p>
        </w:tc>
        <w:tc>
          <w:tcPr>
            <w:tcW w:type="dxa" w:w="13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663 C / Cool Gray 1</w:t>
            </w:r>
          </w:p>
        </w:tc>
        <w:tc>
          <w:tcPr>
            <w:tcW w:type="dxa" w:w="20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Text on dark, light mode background</w:t>
            </w:r>
          </w:p>
        </w:tc>
      </w:tr>
      <w:tr>
        <w:tc>
          <w:tcPr>
            <w:tcW w:type="dxa" w:w="820"/>
            <w:tcBorders>
              <w:top w:val="single" w:color="CCCCCC" w:sz="1"/>
              <w:left w:val="single" w:color="CCCCCC" w:sz="1"/>
              <w:bottom w:val="single" w:color="CCCCCC" w:sz="1"/>
              <w:right w:val="single" w:color="CCCCCC" w:sz="1"/>
            </w:tcBorders>
            <w:shd w:fill="8A8F98"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Slate Gray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#8A8F98</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138, 143, 152</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9, 6, 0, 40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Cool Gray 8 C</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Secondary text, placeholders, inactive states</w:t>
            </w:r>
          </w:p>
        </w:tc>
      </w:tr>
      <w:tr>
        <w:tc>
          <w:tcPr>
            <w:tcW w:type="dxa" w:w="820"/>
            <w:tcBorders>
              <w:top w:val="single" w:color="CCCCCC" w:sz="1"/>
              <w:left w:val="single" w:color="CCCCCC" w:sz="1"/>
              <w:bottom w:val="single" w:color="CCCCCC" w:sz="1"/>
              <w:right w:val="single" w:color="CCCCCC" w:sz="1"/>
            </w:tcBorders>
            <w:shd w:fill="181B22"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Panel Dark</w:t>
            </w:r>
          </w:p>
        </w:tc>
        <w:tc>
          <w:tcPr>
            <w:tcW w:type="dxa" w:w="1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#181B22</w:t>
            </w:r>
          </w:p>
        </w:tc>
        <w:tc>
          <w:tcPr>
            <w:tcW w:type="dxa" w:w="145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24, 27, 34</w:t>
            </w:r>
          </w:p>
        </w:tc>
        <w:tc>
          <w:tcPr>
            <w:tcW w:type="dxa" w:w="145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29, 21, 0, 87</w:t>
            </w:r>
          </w:p>
        </w:tc>
        <w:tc>
          <w:tcPr>
            <w:tcW w:type="dxa" w:w="13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Black 5 C</w:t>
            </w:r>
          </w:p>
        </w:tc>
        <w:tc>
          <w:tcPr>
            <w:tcW w:type="dxa" w:w="20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Cards, panels, elevated surfaces in dark mode</w:t>
            </w:r>
          </w:p>
        </w:tc>
      </w:tr>
      <w:tr>
        <w:tc>
          <w:tcPr>
            <w:tcW w:type="dxa" w:w="820"/>
            <w:tcBorders>
              <w:top w:val="single" w:color="CCCCCC" w:sz="1"/>
              <w:left w:val="single" w:color="CCCCCC" w:sz="1"/>
              <w:bottom w:val="single" w:color="CCCCCC" w:sz="1"/>
              <w:right w:val="single" w:color="CCCCCC" w:sz="1"/>
            </w:tcBorders>
            <w:shd w:fill="2A2E37"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Border / Divider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#2A2E37</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42, 46, 55</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24, 16, 0, 78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Black 4 C</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Hairlines, dividers, card borders in dark mode</w:t>
            </w:r>
          </w:p>
        </w:tc>
      </w:tr>
    </w:tbl>
    <w:p>
      <w:pPr>
        <w:pStyle w:val="Heading2"/>
      </w:pPr>
      <w:r>
        <w:t xml:space="preserve">7.3 Functional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1280"/>
        <w:gridCol w:w="1000"/>
        <w:gridCol w:w="1450"/>
        <w:gridCol w:w="1450"/>
        <w:gridCol w:w="1300"/>
        <w:gridCol w:w="2060"/>
      </w:tblGrid>
      <w:tr>
        <w:trPr>
          <w:tblHeader/>
        </w:trPr>
        <w:tc>
          <w:tcPr>
            <w:tcW w:type="dxa" w:w="82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Swatch</w:t>
            </w:r>
          </w:p>
        </w:tc>
        <w:tc>
          <w:tcPr>
            <w:tcW w:type="dxa" w:w="128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Color</w:t>
            </w:r>
          </w:p>
        </w:tc>
        <w:tc>
          <w:tcPr>
            <w:tcW w:type="dxa" w:w="10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HEX</w:t>
            </w:r>
          </w:p>
        </w:tc>
        <w:tc>
          <w:tcPr>
            <w:tcW w:type="dxa" w:w="145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RGB</w:t>
            </w:r>
          </w:p>
        </w:tc>
        <w:tc>
          <w:tcPr>
            <w:tcW w:type="dxa" w:w="145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CMYK*</w:t>
            </w:r>
          </w:p>
        </w:tc>
        <w:tc>
          <w:tcPr>
            <w:tcW w:type="dxa" w:w="13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Pantone~</w:t>
            </w:r>
          </w:p>
        </w:tc>
        <w:tc>
          <w:tcPr>
            <w:tcW w:type="dxa" w:w="20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Usage</w:t>
            </w:r>
          </w:p>
        </w:tc>
      </w:tr>
      <w:tr>
        <w:tc>
          <w:tcPr>
            <w:tcW w:type="dxa" w:w="820"/>
            <w:tcBorders>
              <w:top w:val="single" w:color="CCCCCC" w:sz="1"/>
              <w:left w:val="single" w:color="CCCCCC" w:sz="1"/>
              <w:bottom w:val="single" w:color="CCCCCC" w:sz="1"/>
              <w:right w:val="single" w:color="CCCCCC" w:sz="1"/>
            </w:tcBorders>
            <w:shd w:fill="34D399"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Success Green</w:t>
            </w:r>
          </w:p>
        </w:tc>
        <w:tc>
          <w:tcPr>
            <w:tcW w:type="dxa" w:w="1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#34D399</w:t>
            </w:r>
          </w:p>
        </w:tc>
        <w:tc>
          <w:tcPr>
            <w:tcW w:type="dxa" w:w="145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52, 211, 153</w:t>
            </w:r>
          </w:p>
        </w:tc>
        <w:tc>
          <w:tcPr>
            <w:tcW w:type="dxa" w:w="145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75, 0, 27, 17</w:t>
            </w:r>
          </w:p>
        </w:tc>
        <w:tc>
          <w:tcPr>
            <w:tcW w:type="dxa" w:w="13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7479 C</w:t>
            </w:r>
          </w:p>
        </w:tc>
        <w:tc>
          <w:tcPr>
            <w:tcW w:type="dxa" w:w="20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Income, credits, positive balances, goals achieved</w:t>
            </w:r>
          </w:p>
        </w:tc>
      </w:tr>
      <w:tr>
        <w:tc>
          <w:tcPr>
            <w:tcW w:type="dxa" w:w="820"/>
            <w:tcBorders>
              <w:top w:val="single" w:color="CCCCCC" w:sz="1"/>
              <w:left w:val="single" w:color="CCCCCC" w:sz="1"/>
              <w:bottom w:val="single" w:color="CCCCCC" w:sz="1"/>
              <w:right w:val="single" w:color="CCCCCC" w:sz="1"/>
            </w:tcBorders>
            <w:shd w:fill="FF6B6B"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Alert Coral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#FF6B6B</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255, 107, 107</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0, 58, 58, 0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1777 C</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Overspending warnings, errors, destructive actions</w:t>
            </w:r>
          </w:p>
        </w:tc>
      </w:tr>
    </w:tbl>
    <w:p>
      <w:pPr>
        <w:pStyle w:val="Heading2"/>
      </w:pPr>
      <w:r>
        <w:t xml:space="preserve">7.4 Category / Accent Colors</w:t>
      </w:r>
    </w:p>
    <w:p>
      <w:pPr>
        <w:spacing w:after="160"/>
      </w:pPr>
      <w:r>
        <w:t xml:space="preserve">Used for budget category tags, charts, and data visualization — designed to be distinct from one another while remaining harmonious with the core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1280"/>
        <w:gridCol w:w="1000"/>
        <w:gridCol w:w="1450"/>
        <w:gridCol w:w="1450"/>
        <w:gridCol w:w="1300"/>
        <w:gridCol w:w="2060"/>
      </w:tblGrid>
      <w:tr>
        <w:trPr>
          <w:tblHeader/>
        </w:trPr>
        <w:tc>
          <w:tcPr>
            <w:tcW w:type="dxa" w:w="82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Swatch</w:t>
            </w:r>
          </w:p>
        </w:tc>
        <w:tc>
          <w:tcPr>
            <w:tcW w:type="dxa" w:w="128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Color</w:t>
            </w:r>
          </w:p>
        </w:tc>
        <w:tc>
          <w:tcPr>
            <w:tcW w:type="dxa" w:w="10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HEX</w:t>
            </w:r>
          </w:p>
        </w:tc>
        <w:tc>
          <w:tcPr>
            <w:tcW w:type="dxa" w:w="145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RGB</w:t>
            </w:r>
          </w:p>
        </w:tc>
        <w:tc>
          <w:tcPr>
            <w:tcW w:type="dxa" w:w="145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CMYK*</w:t>
            </w:r>
          </w:p>
        </w:tc>
        <w:tc>
          <w:tcPr>
            <w:tcW w:type="dxa" w:w="13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Pantone~</w:t>
            </w:r>
          </w:p>
        </w:tc>
        <w:tc>
          <w:tcPr>
            <w:tcW w:type="dxa" w:w="20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Usage</w:t>
            </w:r>
          </w:p>
        </w:tc>
      </w:tr>
      <w:tr>
        <w:tc>
          <w:tcPr>
            <w:tcW w:type="dxa" w:w="820"/>
            <w:tcBorders>
              <w:top w:val="single" w:color="CCCCCC" w:sz="1"/>
              <w:left w:val="single" w:color="CCCCCC" w:sz="1"/>
              <w:bottom w:val="single" w:color="CCCCCC" w:sz="1"/>
              <w:right w:val="single" w:color="CCCCCC" w:sz="1"/>
            </w:tcBorders>
            <w:shd w:fill="3D7FFF"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Utilities</w:t>
            </w:r>
          </w:p>
        </w:tc>
        <w:tc>
          <w:tcPr>
            <w:tcW w:type="dxa" w:w="1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#3D7FFF</w:t>
            </w:r>
          </w:p>
        </w:tc>
        <w:tc>
          <w:tcPr>
            <w:tcW w:type="dxa" w:w="145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61, 127, 255</w:t>
            </w:r>
          </w:p>
        </w:tc>
        <w:tc>
          <w:tcPr>
            <w:tcW w:type="dxa" w:w="145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76, 50, 0, 0</w:t>
            </w:r>
          </w:p>
        </w:tc>
        <w:tc>
          <w:tcPr>
            <w:tcW w:type="dxa" w:w="13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2728 C</w:t>
            </w:r>
          </w:p>
        </w:tc>
        <w:tc>
          <w:tcPr>
            <w:tcW w:type="dxa" w:w="20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Utility bill category</w:t>
            </w:r>
          </w:p>
        </w:tc>
      </w:tr>
      <w:tr>
        <w:tc>
          <w:tcPr>
            <w:tcW w:type="dxa" w:w="820"/>
            <w:tcBorders>
              <w:top w:val="single" w:color="CCCCCC" w:sz="1"/>
              <w:left w:val="single" w:color="CCCCCC" w:sz="1"/>
              <w:bottom w:val="single" w:color="CCCCCC" w:sz="1"/>
              <w:right w:val="single" w:color="CCCCCC" w:sz="1"/>
            </w:tcBorders>
            <w:shd w:fill="FFB84D"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Feeding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#FFB84D</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255, 184, 77</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0, 28, 70, 0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1365 C</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Food &amp; groceries category</w:t>
            </w:r>
          </w:p>
        </w:tc>
      </w:tr>
      <w:tr>
        <w:tc>
          <w:tcPr>
            <w:tcW w:type="dxa" w:w="820"/>
            <w:tcBorders>
              <w:top w:val="single" w:color="CCCCCC" w:sz="1"/>
              <w:left w:val="single" w:color="CCCCCC" w:sz="1"/>
              <w:bottom w:val="single" w:color="CCCCCC" w:sz="1"/>
              <w:right w:val="single" w:color="CCCCCC" w:sz="1"/>
            </w:tcBorders>
            <w:shd w:fill="00D4D4"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Transport</w:t>
            </w:r>
          </w:p>
        </w:tc>
        <w:tc>
          <w:tcPr>
            <w:tcW w:type="dxa" w:w="1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#00D4D4</w:t>
            </w:r>
          </w:p>
        </w:tc>
        <w:tc>
          <w:tcPr>
            <w:tcW w:type="dxa" w:w="145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0, 212, 212</w:t>
            </w:r>
          </w:p>
        </w:tc>
        <w:tc>
          <w:tcPr>
            <w:tcW w:type="dxa" w:w="145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100, 0, 0, 17</w:t>
            </w:r>
          </w:p>
        </w:tc>
        <w:tc>
          <w:tcPr>
            <w:tcW w:type="dxa" w:w="13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3115 C</w:t>
            </w:r>
          </w:p>
        </w:tc>
        <w:tc>
          <w:tcPr>
            <w:tcW w:type="dxa" w:w="20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Transport &amp; fuel category</w:t>
            </w:r>
          </w:p>
        </w:tc>
      </w:tr>
      <w:tr>
        <w:tc>
          <w:tcPr>
            <w:tcW w:type="dxa" w:w="820"/>
            <w:tcBorders>
              <w:top w:val="single" w:color="CCCCCC" w:sz="1"/>
              <w:left w:val="single" w:color="CCCCCC" w:sz="1"/>
              <w:bottom w:val="single" w:color="CCCCCC" w:sz="1"/>
              <w:right w:val="single" w:color="CCCCCC" w:sz="1"/>
            </w:tcBorders>
            <w:shd w:fill="FF6B6B"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Gifts / Family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#FF6B6B</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255, 107, 107</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0, 58, 58, 0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1777 C</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Gifts &amp; family support category</w:t>
            </w:r>
          </w:p>
        </w:tc>
      </w:tr>
      <w:tr>
        <w:tc>
          <w:tcPr>
            <w:tcW w:type="dxa" w:w="820"/>
            <w:tcBorders>
              <w:top w:val="single" w:color="CCCCCC" w:sz="1"/>
              <w:left w:val="single" w:color="CCCCCC" w:sz="1"/>
              <w:bottom w:val="single" w:color="CCCCCC" w:sz="1"/>
              <w:right w:val="single" w:color="CCCCCC" w:sz="1"/>
            </w:tcBorders>
            <w:shd w:fill="9B7EDE"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Rent / Housing</w:t>
            </w:r>
          </w:p>
        </w:tc>
        <w:tc>
          <w:tcPr>
            <w:tcW w:type="dxa" w:w="1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#9B7EDE</w:t>
            </w:r>
          </w:p>
        </w:tc>
        <w:tc>
          <w:tcPr>
            <w:tcW w:type="dxa" w:w="145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155, 126, 222</w:t>
            </w:r>
          </w:p>
        </w:tc>
        <w:tc>
          <w:tcPr>
            <w:tcW w:type="dxa" w:w="145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30, 43, 0, 13</w:t>
            </w:r>
          </w:p>
        </w:tc>
        <w:tc>
          <w:tcPr>
            <w:tcW w:type="dxa" w:w="13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2645 C</w:t>
            </w:r>
          </w:p>
        </w:tc>
        <w:tc>
          <w:tcPr>
            <w:tcW w:type="dxa" w:w="20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Rent and housing category</w:t>
            </w:r>
          </w:p>
        </w:tc>
      </w:tr>
      <w:tr>
        <w:tc>
          <w:tcPr>
            <w:tcW w:type="dxa" w:w="820"/>
            <w:tcBorders>
              <w:top w:val="single" w:color="CCCCCC" w:sz="1"/>
              <w:left w:val="single" w:color="CCCCCC" w:sz="1"/>
              <w:bottom w:val="single" w:color="CCCCCC" w:sz="1"/>
              <w:right w:val="single" w:color="CCCCCC" w:sz="1"/>
            </w:tcBorders>
            <w:shd w:fill="8A8F98" w:val="clear"/>
            <w:tcMar>
              <w:top w:type="dxa" w:w="60"/>
              <w:left w:type="dxa" w:w="100"/>
              <w:bottom w:type="dxa" w:w="60"/>
              <w:right w:type="dxa" w:w="100"/>
            </w:tcMar>
          </w:tcPr>
          <w:p>
            <w:r>
              <w:t xml:space="preserve"/>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Other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#8A8F98</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138, 143, 152</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9, 6, 0, 40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Cool Gray 8 C</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Uncategorized / miscellaneous</w:t>
            </w:r>
          </w:p>
        </w:tc>
      </w:tr>
    </w:tbl>
    <w:p>
      <w:pPr>
        <w:pStyle w:val="Heading2"/>
      </w:pPr>
      <w:r>
        <w:t xml:space="preserve">7.5 Contextual Palettes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500"/>
        <w:gridCol w:w="2200"/>
        <w:gridCol w:w="1560"/>
      </w:tblGrid>
      <w:tr>
        <w:trPr>
          <w:tblHeader/>
        </w:trPr>
        <w:tc>
          <w:tcPr>
            <w:tcW w:type="dxa" w:w="24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Context</w:t>
            </w:r>
          </w:p>
        </w:tc>
        <w:tc>
          <w:tcPr>
            <w:tcW w:type="dxa" w:w="17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Background</w:t>
            </w:r>
          </w:p>
        </w:tc>
        <w:tc>
          <w:tcPr>
            <w:tcW w:type="dxa" w:w="15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Primary Text</w:t>
            </w:r>
          </w:p>
        </w:tc>
        <w:tc>
          <w:tcPr>
            <w:tcW w:type="dxa" w:w="22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Accent(s)</w:t>
            </w:r>
          </w:p>
        </w:tc>
        <w:tc>
          <w:tcPr>
            <w:tcW w:type="dxa" w:w="15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Mobile App — Dark Mode</w:t>
            </w:r>
          </w:p>
        </w:tc>
        <w:tc>
          <w:tcPr>
            <w:tcW w:type="dxa" w:w="17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#0F1115 / #181B22</w:t>
            </w:r>
          </w:p>
        </w:tc>
        <w:tc>
          <w:tcPr>
            <w:tcW w:type="dxa" w:w="15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#F5F6FA</w:t>
            </w:r>
          </w:p>
        </w:tc>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#3D7FFF, #00D4D4</w:t>
            </w:r>
          </w:p>
        </w:tc>
        <w:tc>
          <w:tcPr>
            <w:tcW w:type="dxa" w:w="15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Default recommended mode; matches sleek-tech identity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Mobile App — Light Mode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#F5F6FA / #FFFFFF</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#0F1115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#3D7FFF, #00D4D4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Same accents on light surfaces; ensure 4.5:1 contrast minimum</w:t>
            </w:r>
          </w:p>
        </w:tc>
      </w:tr>
      <w:tr>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Corporate / Presentation</w:t>
            </w:r>
          </w:p>
        </w:tc>
        <w:tc>
          <w:tcPr>
            <w:tcW w:type="dxa" w:w="17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#FFFFFF</w:t>
            </w:r>
          </w:p>
        </w:tc>
        <w:tc>
          <w:tcPr>
            <w:tcW w:type="dxa" w:w="15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#0F1115</w:t>
            </w:r>
          </w:p>
        </w:tc>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#3D7FFF</w:t>
            </w:r>
          </w:p>
        </w:tc>
        <w:tc>
          <w:tcPr>
            <w:tcW w:type="dxa" w:w="15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Single accent for clean, investor-facing slides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Investor Deck — Dark</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#0F1115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#F5F6FA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#3D7FFF, #00D4D4, #34D399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Add success green for growth/metrics slides</w:t>
            </w:r>
          </w:p>
        </w:tc>
      </w:tr>
      <w:tr>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Digital / Web Marketing</w:t>
            </w:r>
          </w:p>
        </w:tc>
        <w:tc>
          <w:tcPr>
            <w:tcW w:type="dxa" w:w="17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#0F1115</w:t>
            </w:r>
          </w:p>
        </w:tc>
        <w:tc>
          <w:tcPr>
            <w:tcW w:type="dxa" w:w="15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#F5F6FA</w:t>
            </w:r>
          </w:p>
        </w:tc>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Full gradient (#3D7FFF→#00D4D4)</w:t>
            </w:r>
          </w:p>
        </w:tc>
        <w:tc>
          <w:tcPr>
            <w:tcW w:type="dxa" w:w="15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Gradient used generously for hero sections and CTAs</w:t>
            </w:r>
          </w:p>
        </w:tc>
      </w:tr>
    </w:tbl>
    <w:p>
      <w:pPr>
        <w:pStyle w:val="Heading1"/>
        <w:pageBreakBefore/>
      </w:pPr>
      <w:r>
        <w:t xml:space="preserve">Section 8 — Typography System</w:t>
      </w:r>
    </w:p>
    <w:p>
      <w:pPr>
        <w:pStyle w:val="Heading2"/>
      </w:pPr>
      <w:r>
        <w:t xml:space="preserve">8.1 Typeface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Role</w:t>
            </w:r>
          </w:p>
        </w:tc>
        <w:tc>
          <w:tcPr>
            <w:tcW w:type="dxa" w:w="18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Typeface</w:t>
            </w:r>
          </w:p>
        </w:tc>
        <w:tc>
          <w:tcPr>
            <w:tcW w:type="dxa" w:w="53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Rationale</w:t>
            </w:r>
          </w:p>
        </w:tc>
      </w:tr>
      <w:tr>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Primary / UI Typeface</w:t>
            </w:r>
          </w:p>
        </w:tc>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Inter</w:t>
            </w:r>
          </w:p>
        </w:tc>
        <w:tc>
          <w:tcPr>
            <w:tcW w:type="dxa" w:w="53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Exceptional legibility at small sizes, open-source, extensive language support (including African Latin-script languages and Arabic via companion fonts), and a neutral-but-modern character that suits a financial dashboard.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Display / Headline Typeface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Sora</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Geometric, confident, slightly distinctive letterforms for marketing headlines, splash screens, and presentation titles without sacrificing readability.</w:t>
            </w:r>
          </w:p>
        </w:tc>
      </w:tr>
      <w:tr>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Secondary / Editorial Typeface</w:t>
            </w:r>
          </w:p>
        </w:tc>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Inter (Medium/SemiBold)</w:t>
            </w:r>
          </w:p>
        </w:tc>
        <w:tc>
          <w:tcPr>
            <w:tcW w:type="dxa" w:w="53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Used for body copy in blog posts, in-app education content, and longer-form writing — keeping a single type family reduces complexity.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Presentation Typeface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Sora (headings) + Inter (body)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Investor decks and pitch materials pair Sora headlines with Inter body copy for a polished, consistent system.</w:t>
            </w:r>
          </w:p>
        </w:tc>
      </w:tr>
      <w:tr>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Numerical / Data Typeface</w:t>
            </w:r>
          </w:p>
        </w:tc>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Inter (tabular figures enabled)</w:t>
            </w:r>
          </w:p>
        </w:tc>
        <w:tc>
          <w:tcPr>
            <w:tcW w:type="dxa" w:w="53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Tabular lining figures ensure currency amounts and statistics align cleanly in tables, charts, and transaction lists.</w:t>
            </w:r>
          </w:p>
        </w:tc>
      </w:tr>
    </w:tbl>
    <w:p>
      <w:pPr>
        <w:pStyle w:val="Heading2"/>
      </w:pPr>
      <w:r>
        <w:t xml:space="preserve">8.2 Type Hierarchy &amp;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rPr>
          <w:tblHeader/>
        </w:trPr>
        <w:tc>
          <w:tcPr>
            <w:tcW w:type="dxa" w:w="18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Style</w:t>
            </w:r>
          </w:p>
        </w:tc>
        <w:tc>
          <w:tcPr>
            <w:tcW w:type="dxa" w:w="22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Typeface / Weight</w:t>
            </w:r>
          </w:p>
        </w:tc>
        <w:tc>
          <w:tcPr>
            <w:tcW w:type="dxa" w:w="18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Size (Mobile)</w:t>
            </w:r>
          </w:p>
        </w:tc>
        <w:tc>
          <w:tcPr>
            <w:tcW w:type="dxa" w:w="35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Usage</w:t>
            </w:r>
          </w:p>
        </w:tc>
      </w:tr>
      <w:tr>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Display</w:t>
            </w:r>
          </w:p>
        </w:tc>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Sora Bold</w:t>
            </w:r>
          </w:p>
        </w:tc>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32-40px</w:t>
            </w:r>
          </w:p>
        </w:tc>
        <w:tc>
          <w:tcPr>
            <w:tcW w:type="dxa" w:w="35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Splash screens, marketing headlines, hero sections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H1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Sora SemiBold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28px</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Screen titles (e.g. 'Monthly Summary')</w:t>
            </w:r>
          </w:p>
        </w:tc>
      </w:tr>
      <w:tr>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H2</w:t>
            </w:r>
          </w:p>
        </w:tc>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Sora SemiBold</w:t>
            </w:r>
          </w:p>
        </w:tc>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22px</w:t>
            </w:r>
          </w:p>
        </w:tc>
        <w:tc>
          <w:tcPr>
            <w:tcW w:type="dxa" w:w="35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Section headers within a screen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H3 / Subhead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Inter SemiBold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18px</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Card titles, list section headers</w:t>
            </w:r>
          </w:p>
        </w:tc>
      </w:tr>
      <w:tr>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Body</w:t>
            </w:r>
          </w:p>
        </w:tc>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Inter Regular</w:t>
            </w:r>
          </w:p>
        </w:tc>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15px</w:t>
            </w:r>
          </w:p>
        </w:tc>
        <w:tc>
          <w:tcPr>
            <w:tcW w:type="dxa" w:w="35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Standard body text, descriptions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Body Small / Caption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Inter Regular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13px</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Timestamps, helper text, metadata</w:t>
            </w:r>
          </w:p>
        </w:tc>
      </w:tr>
      <w:tr>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Numeric Large</w:t>
            </w:r>
          </w:p>
        </w:tc>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Inter Bold (tabular)</w:t>
            </w:r>
          </w:p>
        </w:tc>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32-40px</w:t>
            </w:r>
          </w:p>
        </w:tc>
        <w:tc>
          <w:tcPr>
            <w:tcW w:type="dxa" w:w="35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Headline balances and totals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Numeric Standard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Inter Medium (tabular)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16px</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Transaction amounts in lists</w:t>
            </w:r>
          </w:p>
        </w:tc>
      </w:tr>
      <w:tr>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Button / Label</w:t>
            </w:r>
          </w:p>
        </w:tc>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Inter SemiBold</w:t>
            </w:r>
          </w:p>
        </w:tc>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15px</w:t>
            </w:r>
          </w:p>
        </w:tc>
        <w:tc>
          <w:tcPr>
            <w:tcW w:type="dxa" w:w="35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Buttons, tabs, tags</w:t>
            </w:r>
          </w:p>
        </w:tc>
      </w:tr>
    </w:tbl>
    <w:p>
      <w:pPr>
        <w:pStyle w:val="Heading2"/>
      </w:pPr>
      <w:r>
        <w:t xml:space="preserve">8.3 Accessibility Guidelines</w:t>
      </w:r>
    </w:p>
    <w:p>
      <w:pPr>
        <w:pStyle w:val="ListParagraph"/>
        <w:numPr>
          <w:ilvl w:val="0"/>
          <w:numId w:val="2"/>
        </w:numPr>
        <w:spacing w:after="80"/>
      </w:pPr>
      <w:r>
        <w:t xml:space="preserve">Maintain a minimum contrast ratio of 4.5:1 for body text and 3:1 for large text (18px+ or 14px bold+), per WCAG AA.</w:t>
      </w:r>
    </w:p>
    <w:p>
      <w:pPr>
        <w:pStyle w:val="ListParagraph"/>
        <w:numPr>
          <w:ilvl w:val="0"/>
          <w:numId w:val="2"/>
        </w:numPr>
        <w:spacing w:after="80"/>
      </w:pPr>
      <w:r>
        <w:t xml:space="preserve">Never rely on color alone to convey meaning (e.g. income vs. expense) — always pair color with icons or +/- signage.</w:t>
      </w:r>
    </w:p>
    <w:p>
      <w:pPr>
        <w:pStyle w:val="ListParagraph"/>
        <w:numPr>
          <w:ilvl w:val="0"/>
          <w:numId w:val="2"/>
        </w:numPr>
        <w:spacing w:after="80"/>
      </w:pPr>
      <w:r>
        <w:t xml:space="preserve">Minimum body text size of 13px on mobile; avoid setting any user-facing financial figure below 13px.</w:t>
      </w:r>
    </w:p>
    <w:p>
      <w:pPr>
        <w:pStyle w:val="ListParagraph"/>
        <w:numPr>
          <w:ilvl w:val="0"/>
          <w:numId w:val="2"/>
        </w:numPr>
        <w:spacing w:after="80"/>
      </w:pPr>
      <w:r>
        <w:t xml:space="preserve">Support OS-level text scaling (Dynamic Type on iOS, font scale on Android) up to at least 130% without breaking layouts.</w:t>
      </w:r>
    </w:p>
    <w:p>
      <w:pPr>
        <w:pStyle w:val="ListParagraph"/>
        <w:numPr>
          <w:ilvl w:val="0"/>
          <w:numId w:val="2"/>
        </w:numPr>
        <w:spacing w:after="80"/>
      </w:pPr>
      <w:r>
        <w:t xml:space="preserve">Use tabular figures for all currency values to prevent numbers from shifting width as they update.</w:t>
      </w:r>
    </w:p>
    <w:p>
      <w:pPr>
        <w:pStyle w:val="Heading1"/>
        <w:pageBreakBefore/>
      </w:pPr>
      <w:r>
        <w:t xml:space="preserve">Section 9 — Iconography System</w:t>
      </w:r>
    </w:p>
    <w:p>
      <w:pPr>
        <w:pStyle w:val="Heading2"/>
      </w:pPr>
      <w:r>
        <w:t xml:space="preserve">9.1 Icon Style</w:t>
      </w:r>
    </w:p>
    <w:p>
      <w:pPr>
        <w:spacing w:after="160"/>
      </w:pPr>
      <w:r>
        <w:t xml:space="preserve">Zinkro's iconography extends the visual language of the logo's Pulse Bracket: rounded line icons with consistent stroke weight, generous corner radii, and selective use of the brand gradient for active or highlighted states.</w:t>
      </w:r>
    </w:p>
    <w:p>
      <w:pPr>
        <w:pStyle w:val="Heading2"/>
      </w:pPr>
      <w:r>
        <w:t xml:space="preserve">9.2 Stroke &amp; Grid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Property</w:t>
            </w:r>
          </w:p>
        </w:tc>
        <w:tc>
          <w:tcPr>
            <w:tcW w:type="dxa" w:w="68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Specification</w:t>
            </w:r>
          </w:p>
        </w:tc>
      </w:tr>
      <w:tr>
        <w:tc>
          <w:tcPr>
            <w:tcW w:type="dxa" w:w="25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Grid</w:t>
            </w:r>
          </w:p>
        </w:tc>
        <w:tc>
          <w:tcPr>
            <w:tcW w:type="dxa" w:w="68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24 x 24px base grid (scalable to 16, 20, 32, 48px increments)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Stroke weight</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1.75px at 24px size, scaling proportionally</w:t>
            </w:r>
          </w:p>
        </w:tc>
      </w:tr>
      <w:tr>
        <w:tc>
          <w:tcPr>
            <w:tcW w:type="dxa" w:w="25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Corner style</w:t>
            </w:r>
          </w:p>
        </w:tc>
        <w:tc>
          <w:tcPr>
            <w:tcW w:type="dxa" w:w="68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Rounded (2px radius on terminals and joins) — never sharp corners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Fill usage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Outline by default; filled variant reserved for active/selected states</w:t>
            </w:r>
          </w:p>
        </w:tc>
      </w:tr>
      <w:tr>
        <w:tc>
          <w:tcPr>
            <w:tcW w:type="dxa" w:w="25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Color</w:t>
            </w:r>
          </w:p>
        </w:tc>
        <w:tc>
          <w:tcPr>
            <w:tcW w:type="dxa" w:w="68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Default: #F5F6FA (dark mode) / #0F1115 (light mode); Active: gradient #3D7FFF→#00D4D4</w:t>
            </w:r>
          </w:p>
        </w:tc>
      </w:tr>
    </w:tbl>
    <w:p>
      <w:pPr>
        <w:pStyle w:val="Heading2"/>
      </w:pPr>
      <w:r>
        <w:t xml:space="preserve">9.3 Do's and Don'ts</w:t>
      </w:r>
    </w:p>
    <w:p>
      <w:pPr>
        <w:pStyle w:val="ListParagraph"/>
        <w:numPr>
          <w:ilvl w:val="0"/>
          <w:numId w:val="2"/>
        </w:numPr>
        <w:spacing w:after="80"/>
      </w:pPr>
      <w:r>
        <w:t xml:space="preserve">Do keep visual weight consistent across an icon set — no mixing of thin and bold strokes within the same screen.</w:t>
      </w:r>
    </w:p>
    <w:p>
      <w:pPr>
        <w:pStyle w:val="ListParagraph"/>
        <w:numPr>
          <w:ilvl w:val="0"/>
          <w:numId w:val="2"/>
        </w:numPr>
        <w:spacing w:after="80"/>
      </w:pPr>
      <w:r>
        <w:t xml:space="preserve">Do use the bracket motif sparingly in custom icons (e.g. 'scan receipt', 'import transactions') to reinforce brand recognition.</w:t>
      </w:r>
    </w:p>
    <w:p>
      <w:pPr>
        <w:pStyle w:val="ListParagraph"/>
        <w:numPr>
          <w:ilvl w:val="0"/>
          <w:numId w:val="2"/>
        </w:numPr>
        <w:spacing w:after="80"/>
      </w:pPr>
      <w:r>
        <w:t xml:space="preserve">Don't introduce sharp 90-degree corners — all icons should echo the rounded, friendly geometry of the logo.</w:t>
      </w:r>
    </w:p>
    <w:p>
      <w:pPr>
        <w:pStyle w:val="ListParagraph"/>
        <w:numPr>
          <w:ilvl w:val="0"/>
          <w:numId w:val="2"/>
        </w:numPr>
        <w:spacing w:after="80"/>
      </w:pPr>
      <w:r>
        <w:t xml:space="preserve">Don't use more than two colors within a single icon outside of category color-coding.</w:t>
      </w:r>
    </w:p>
    <w:p>
      <w:pPr>
        <w:pStyle w:val="Heading1"/>
        <w:pageBreakBefore/>
      </w:pPr>
      <w:r>
        <w:t xml:space="preserve">Section 10 — Illustration System</w:t>
      </w:r>
    </w:p>
    <w:p>
      <w:pPr>
        <w:pStyle w:val="Heading2"/>
      </w:pPr>
      <w:r>
        <w:t xml:space="preserve">10.1 Illustration Direction</w:t>
      </w:r>
    </w:p>
    <w:p>
      <w:pPr>
        <w:spacing w:after="160"/>
      </w:pPr>
      <w:r>
        <w:t xml:space="preserve">Zinkro's illustration style favors abstract, geometric compositions over literal character illustration — reinforcing the 'intelligent system' positioning rather than a 'cartoon assistant' feel. Illustrations are built from simple shapes (circles, rounded rectangles, lines) rendered in the brand gradient against the dark charcoal base, evoking data visualization more than storybook imagery.</w:t>
      </w:r>
    </w:p>
    <w:p>
      <w:pPr>
        <w:pStyle w:val="Heading2"/>
      </w:pPr>
      <w:r>
        <w:t xml:space="preserve">10.2 Character Style (Where Used)</w:t>
      </w:r>
    </w:p>
    <w:p>
      <w:pPr>
        <w:spacing w:after="160"/>
      </w:pPr>
      <w:r>
        <w:t xml:space="preserve">In limited contexts — onboarding, educational content, empty states — simple, geometric human figures may be used. These should be minimal (flat shapes, no facial detail beyond simple expression cues), deliberately diverse in skin tone, dress, and context to reflect Zinkro's pan-African and global emerging-market audience, and never infantilizing.</w:t>
      </w:r>
    </w:p>
    <w:p>
      <w:pPr>
        <w:pStyle w:val="Heading2"/>
      </w:pPr>
      <w:r>
        <w:t xml:space="preserve">10.3 Financial Graphics &amp; Educational Visual Language</w:t>
      </w:r>
    </w:p>
    <w:p>
      <w:pPr>
        <w:pStyle w:val="ListParagraph"/>
        <w:numPr>
          <w:ilvl w:val="0"/>
          <w:numId w:val="2"/>
        </w:numPr>
        <w:spacing w:after="80"/>
      </w:pPr>
      <w:r>
        <w:t xml:space="preserve">Charts and graphs use the category color system (Section 7.4) consistently across the app, marketing, and educational content.</w:t>
      </w:r>
    </w:p>
    <w:p>
      <w:pPr>
        <w:pStyle w:val="ListParagraph"/>
        <w:numPr>
          <w:ilvl w:val="0"/>
          <w:numId w:val="2"/>
        </w:numPr>
        <w:spacing w:after="80"/>
      </w:pPr>
      <w:r>
        <w:t xml:space="preserve">Progress toward goals is always shown as a filled arc or bar using the brand gradient, never a generic green progress bar.</w:t>
      </w:r>
    </w:p>
    <w:p>
      <w:pPr>
        <w:pStyle w:val="ListParagraph"/>
        <w:numPr>
          <w:ilvl w:val="0"/>
          <w:numId w:val="2"/>
        </w:numPr>
        <w:spacing w:after="80"/>
      </w:pPr>
      <w:r>
        <w:t xml:space="preserve">Educational illustrations (e.g. 'how compound savings work') use simple animated or static line diagrams rather than metaphorical imagery (no piggy banks, no literal vaults) to keep the system feeling modern and global rather than tied to one cultural reference point.</w:t>
      </w:r>
    </w:p>
    <w:p>
      <w:pPr>
        <w:pStyle w:val="Heading1"/>
        <w:pageBreakBefore/>
      </w:pPr>
      <w:r>
        <w:t xml:space="preserve">Section 11 — Photography System</w:t>
      </w:r>
    </w:p>
    <w:p>
      <w:pPr>
        <w:pStyle w:val="Heading2"/>
      </w:pPr>
      <w:r>
        <w:t xml:space="preserve">11.1 Photography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Attribute</w:t>
            </w:r>
          </w:p>
        </w:tc>
        <w:tc>
          <w:tcPr>
            <w:tcW w:type="dxa" w:w="71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Guideline</w:t>
            </w:r>
          </w:p>
        </w:tc>
      </w:tr>
      <w:tr>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Subjects</w:t>
            </w:r>
          </w:p>
        </w:tc>
        <w:tc>
          <w:tcPr>
            <w:tcW w:type="dxa" w:w="71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Real people in everyday financial moments — checking a phone at a market stall, a freelancer working from a cafe, a family at home reviewing a budget together. Avoid generic 'stock' business poses (handshakes, suits in boardrooms).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Lighting</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Natural, slightly warm light. Avoid harsh studio lighting or overly cool/blue casts that feel sterile.</w:t>
            </w:r>
          </w:p>
        </w:tc>
      </w:tr>
      <w:tr>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Composition</w:t>
            </w:r>
          </w:p>
        </w:tc>
        <w:tc>
          <w:tcPr>
            <w:tcW w:type="dxa" w:w="71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Candid framing with authentic environments; allow some negative space for UI overlays (app screenshots, callouts) in marketing layouts.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Mood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Calm confidence and quiet optimism — not aspirational luxury, not financial stress or anxiety.</w:t>
            </w:r>
          </w:p>
        </w:tc>
      </w:tr>
      <w:tr>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Color Grading</w:t>
            </w:r>
          </w:p>
        </w:tc>
        <w:tc>
          <w:tcPr>
            <w:tcW w:type="dxa" w:w="71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Slightly cool-leaning neutral grade that complements the brand's blue/teal accents without oversaturating skin tones.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Representation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Imagery must authentically represent the diversity of Zinkro's primary markets across Africa, alongside global emerging-market contexts (Southeast Asia, Latin America).</w:t>
            </w:r>
          </w:p>
        </w:tc>
      </w:tr>
    </w:tbl>
    <w:p>
      <w:pPr>
        <w:pStyle w:val="Heading2"/>
      </w:pPr>
      <w:r>
        <w:t xml:space="preserve">11.2 Do's and Don'ts</w:t>
      </w:r>
    </w:p>
    <w:p>
      <w:pPr>
        <w:pStyle w:val="ListParagraph"/>
        <w:numPr>
          <w:ilvl w:val="0"/>
          <w:numId w:val="2"/>
        </w:numPr>
        <w:spacing w:after="80"/>
      </w:pPr>
      <w:r>
        <w:t xml:space="preserve">Do show phones, devices, and real banking/payment moments naturally integrated into scenes.</w:t>
      </w:r>
    </w:p>
    <w:p>
      <w:pPr>
        <w:pStyle w:val="ListParagraph"/>
        <w:numPr>
          <w:ilvl w:val="0"/>
          <w:numId w:val="2"/>
        </w:numPr>
        <w:spacing w:after="80"/>
      </w:pPr>
      <w:r>
        <w:t xml:space="preserve">Do prioritize authenticity over polish — slightly imperfect, real moments outperform overly staged stock photography.</w:t>
      </w:r>
    </w:p>
    <w:p>
      <w:pPr>
        <w:pStyle w:val="ListParagraph"/>
        <w:numPr>
          <w:ilvl w:val="0"/>
          <w:numId w:val="2"/>
        </w:numPr>
        <w:spacing w:after="80"/>
      </w:pPr>
      <w:r>
        <w:t xml:space="preserve">Don't use imagery that depicts financial stress, debt collection, or shame — Zinkro's tone is supportive, not fear-based.</w:t>
      </w:r>
    </w:p>
    <w:p>
      <w:pPr>
        <w:pStyle w:val="ListParagraph"/>
        <w:numPr>
          <w:ilvl w:val="0"/>
          <w:numId w:val="2"/>
        </w:numPr>
        <w:spacing w:after="80"/>
      </w:pPr>
      <w:r>
        <w:t xml:space="preserve">Don't default to Western-only office or lifestyle imagery as the primary visual language.</w:t>
      </w:r>
    </w:p>
    <w:p>
      <w:pPr>
        <w:pStyle w:val="Heading1"/>
        <w:pageBreakBefore/>
      </w:pPr>
      <w:r>
        <w:t xml:space="preserve">Section 12 — UI/UX Branding</w:t>
      </w:r>
    </w:p>
    <w:p>
      <w:pPr>
        <w:spacing w:after="160"/>
      </w:pPr>
      <w:r>
        <w:t xml:space="preserve">The following guidelines apply the visual identity system to Zinkro's core product surfaces. All surfaces default to dark mode (Section 7.5) with light mode available as a user preference.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Surface</w:t>
            </w:r>
          </w:p>
        </w:tc>
        <w:tc>
          <w:tcPr>
            <w:tcW w:type="dxa" w:w="71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Branding Guidelines</w:t>
            </w:r>
          </w:p>
        </w:tc>
      </w:tr>
      <w:tr>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Dashboard / Home</w:t>
            </w:r>
          </w:p>
        </w:tc>
        <w:tc>
          <w:tcPr>
            <w:tcW w:type="dxa" w:w="71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Hero balance figure in Numeric Large (Inter Bold, tabular); category breakdown using the category color system; gradient accent reserved for the single most important call-to-action.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Mobile App (General)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Charcoal (#0F1115) base, Panel Dark (#181B22) cards with 16-20px corner radius, 24px grid iconography, gradient used sparingly for primary actions and active states only.</w:t>
            </w:r>
          </w:p>
        </w:tc>
      </w:tr>
      <w:tr>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Web Platform</w:t>
            </w:r>
          </w:p>
        </w:tc>
        <w:tc>
          <w:tcPr>
            <w:tcW w:type="dxa" w:w="71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Mirrors mobile visual language with expanded layouts; sidebar navigation on Panel Dark, content area on Charcoal; gradient hero sections permitted on marketing/landing pages only.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Analytics Screens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Charts use category color system; comparisons (this month vs. last) shown via solid vs. outlined bars/lines, not color alone.</w:t>
            </w:r>
          </w:p>
        </w:tc>
      </w:tr>
      <w:tr>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AI Assistant</w:t>
            </w:r>
          </w:p>
        </w:tc>
        <w:tc>
          <w:tcPr>
            <w:tcW w:type="dxa" w:w="71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Distinguished by the gradient (#3D7FFF→#00D4D4) avatar/icon treatment and Sora typography for its responses, signaling 'intelligence' visually distinct from standard UI.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Budget Screens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Each budget category tagged with its assigned color (Section 7.4); over-budget states use Alert Coral (#FF6B6B) without removing the category color entirely.</w:t>
            </w:r>
          </w:p>
        </w:tc>
      </w:tr>
      <w:tr>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Savings Screens</w:t>
            </w:r>
          </w:p>
        </w:tc>
        <w:tc>
          <w:tcPr>
            <w:tcW w:type="dxa" w:w="71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Progress visualized via gradient-filled circular or bar progress indicators; milestones marked with Success Green (#34D399) accents.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Goal Tracking</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Each goal gets a custom icon (from the iconography system) and a gradient progress ring; completed goals shift fully to Success Green.</w:t>
            </w:r>
          </w:p>
        </w:tc>
      </w:tr>
      <w:tr>
        <w:tc>
          <w:tcPr>
            <w:tcW w:type="dxa" w:w="2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Reports / Monthly Summary</w:t>
            </w:r>
          </w:p>
        </w:tc>
        <w:tc>
          <w:tcPr>
            <w:tcW w:type="dxa" w:w="71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Presentation-style layout (Sora headers, Inter body) suitable for export/sharing as PDF or image; consistent with Investor Deck palette for visual familiarity.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Notifications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Push notifications use a condensed version of the icon (circular badge) as the app icon; in-app notifications use Panel Dark cards with category color accents on the leading edge.</w:t>
            </w:r>
          </w:p>
        </w:tc>
      </w:tr>
    </w:tbl>
    <w:p>
      <w:pPr>
        <w:pStyle w:val="Heading1"/>
        <w:pageBreakBefore/>
      </w:pPr>
      <w:r>
        <w:t xml:space="preserve">Section 13 — Voice &amp; Tone</w:t>
      </w:r>
    </w:p>
    <w:p>
      <w:pPr>
        <w:pStyle w:val="Heading2"/>
      </w:pPr>
      <w:r>
        <w:t xml:space="preserve">13.1 Brand Voice</w:t>
      </w:r>
    </w:p>
    <w:p>
      <w:pPr>
        <w:spacing w:after="160"/>
      </w:pPr>
      <w:r>
        <w:t xml:space="preserve">Zinkro speaks like a knowledgeable friend with a finance background — never like a bank, and never like a textbook. The voice is clear, encouraging, precise, and human. It celebrates progress, frames setbacks constructively, and never uses fear, shame, or urgency tactics common in the finance industry.</w:t>
      </w:r>
    </w:p>
    <w:p>
      <w:pPr>
        <w:pStyle w:val="Heading2"/>
      </w:pPr>
      <w:r>
        <w:t xml:space="preserve">13.2 Writing Principles</w:t>
      </w:r>
    </w:p>
    <w:p>
      <w:pPr>
        <w:spacing w:after="120"/>
      </w:pPr>
      <w:r>
        <w:rPr>
          <w:b/>
          <w:bCs/>
        </w:rPr>
        <w:t xml:space="preserve">Be Clear — </w:t>
      </w:r>
      <w:r>
        <w:t xml:space="preserve">Use plain language. If a financial term is necessary, explain it briefly the first time it appears.</w:t>
      </w:r>
    </w:p>
    <w:p>
      <w:pPr>
        <w:spacing w:after="120"/>
      </w:pPr>
      <w:r>
        <w:rPr>
          <w:b/>
          <w:bCs/>
        </w:rPr>
        <w:t xml:space="preserve">Be Encouraging — </w:t>
      </w:r>
      <w:r>
        <w:t xml:space="preserve">Frame numbers and trends in terms of progress and possibility, not failure.</w:t>
      </w:r>
    </w:p>
    <w:p>
      <w:pPr>
        <w:spacing w:after="120"/>
      </w:pPr>
      <w:r>
        <w:rPr>
          <w:b/>
          <w:bCs/>
        </w:rPr>
        <w:t xml:space="preserve">Be Precise — </w:t>
      </w:r>
      <w:r>
        <w:t xml:space="preserve">Always use exact figures, dates, and category names — never 'a lot' or 'recently'.</w:t>
      </w:r>
    </w:p>
    <w:p>
      <w:pPr>
        <w:spacing w:after="120"/>
      </w:pPr>
      <w:r>
        <w:rPr>
          <w:b/>
          <w:bCs/>
        </w:rPr>
        <w:t xml:space="preserve">Be Human — </w:t>
      </w:r>
      <w:r>
        <w:t xml:space="preserve">Write the way a thoughtful person would explain something to a friend, including occasional warmth or light humor where appropriate.</w:t>
      </w:r>
    </w:p>
    <w:p>
      <w:pPr>
        <w:pStyle w:val="Heading2"/>
      </w:pPr>
      <w:r>
        <w:t xml:space="preserve">13.3 Voice &amp; Tone Examples by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Channel</w:t>
            </w:r>
          </w:p>
        </w:tc>
        <w:tc>
          <w:tcPr>
            <w:tcW w:type="dxa" w:w="69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Example</w:t>
            </w:r>
          </w:p>
        </w:tc>
      </w:tr>
      <w:tr>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Email (Monthly Summary)</w:t>
            </w:r>
          </w:p>
        </w:tc>
        <w:tc>
          <w:tcPr>
            <w:tcW w:type="dxa" w:w="69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“Here's how October went: you spent ₦184,500 across 6 categories — 12% less than September. Feeding was your biggest category again, but Transport dropped by ₦8,200. Nice work.”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Push Notification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“You're ₦15,000 away from your Lagos trip goal — at this pace, you'll hit it by March 14.”</w:t>
            </w:r>
          </w:p>
        </w:tc>
      </w:tr>
      <w:tr>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Social Media (Educational)</w:t>
            </w:r>
          </w:p>
        </w:tc>
        <w:tc>
          <w:tcPr>
            <w:tcW w:type="dxa" w:w="69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“Your bank already tells you when money moves. Zinkro just makes sure you actually see it — sorted, totalled, and ready to act 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Website Copy (Hero)</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“Track it all, automatically. Zinkro turns every bank alert into a clear picture of your money — no typing required.”</w:t>
            </w:r>
          </w:p>
        </w:tc>
      </w:tr>
      <w:tr>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Advertisement</w:t>
            </w:r>
          </w:p>
        </w:tc>
        <w:tc>
          <w:tcPr>
            <w:tcW w:type="dxa" w:w="69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“Stop typing your expenses. Start understanding them. Meet Zinkro.”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Investor Deck</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“Zinkro converts an existing, untapped data stream — transactional SMS and email alerts — into the foundation of a full financial operating system for 1.2 billion underbanked and informally-banked consumers.”</w:t>
            </w:r>
          </w:p>
        </w:tc>
      </w:tr>
      <w:tr>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Customer Support</w:t>
            </w:r>
          </w:p>
        </w:tc>
        <w:tc>
          <w:tcPr>
            <w:tcW w:type="dxa" w:w="69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“Thanks for flagging this — it looks like that transaction was filed under 'Other' instead of 'Transport'. I've corrected it, and Zinkro will recognize similar transactions from this sender going forward.”</w:t>
            </w:r>
          </w:p>
        </w:tc>
      </w:tr>
    </w:tbl>
    <w:p>
      <w:pPr>
        <w:pStyle w:val="Heading1"/>
        <w:pageBreakBefore/>
      </w:pPr>
      <w:r>
        <w:t xml:space="preserve">Section 14 — Messaging Framework</w:t>
      </w:r>
    </w:p>
    <w:p>
      <w:pPr>
        <w:pStyle w:val="Heading2"/>
      </w:pPr>
      <w:r>
        <w:t xml:space="preserve">14.1 Tagline Options</w:t>
      </w:r>
    </w:p>
    <w:p>
      <w:pPr>
        <w:pStyle w:val="ListParagraph"/>
        <w:numPr>
          <w:ilvl w:val="0"/>
          <w:numId w:val="3"/>
        </w:numPr>
        <w:spacing w:after="80"/>
      </w:pPr>
      <w:r>
        <w:t xml:space="preserve">Track it all, automatically.</w:t>
      </w:r>
    </w:p>
    <w:p>
      <w:pPr>
        <w:pStyle w:val="ListParagraph"/>
        <w:numPr>
          <w:ilvl w:val="0"/>
          <w:numId w:val="3"/>
        </w:numPr>
        <w:spacing w:after="80"/>
      </w:pPr>
      <w:r>
        <w:t xml:space="preserve">Your money, tallied.</w:t>
      </w:r>
    </w:p>
    <w:p>
      <w:pPr>
        <w:pStyle w:val="ListParagraph"/>
        <w:numPr>
          <w:ilvl w:val="0"/>
          <w:numId w:val="3"/>
        </w:numPr>
        <w:spacing w:after="80"/>
      </w:pPr>
      <w:r>
        <w:t xml:space="preserve">Every spend, counted.</w:t>
      </w:r>
    </w:p>
    <w:p>
      <w:pPr>
        <w:pStyle w:val="ListParagraph"/>
        <w:numPr>
          <w:ilvl w:val="0"/>
          <w:numId w:val="3"/>
        </w:numPr>
        <w:spacing w:after="80"/>
      </w:pPr>
      <w:r>
        <w:t xml:space="preserve">The intelligent operating system for your money.</w:t>
      </w:r>
    </w:p>
    <w:p>
      <w:pPr>
        <w:pStyle w:val="ListParagraph"/>
        <w:numPr>
          <w:ilvl w:val="0"/>
          <w:numId w:val="3"/>
        </w:numPr>
        <w:spacing w:after="80"/>
      </w:pPr>
      <w:r>
        <w:t xml:space="preserve">Finance that keeps up with you.</w:t>
      </w:r>
    </w:p>
    <w:p>
      <w:pPr>
        <w:pStyle w:val="ListParagraph"/>
        <w:numPr>
          <w:ilvl w:val="0"/>
          <w:numId w:val="3"/>
        </w:numPr>
        <w:spacing w:after="80"/>
      </w:pPr>
      <w:r>
        <w:t xml:space="preserve">Money management that runs itself.</w:t>
      </w:r>
    </w:p>
    <w:p>
      <w:pPr>
        <w:pStyle w:val="ListParagraph"/>
        <w:numPr>
          <w:ilvl w:val="0"/>
          <w:numId w:val="3"/>
        </w:numPr>
        <w:spacing w:after="80"/>
      </w:pPr>
      <w:r>
        <w:t xml:space="preserve">See everything. Type nothing.</w:t>
      </w:r>
    </w:p>
    <w:p>
      <w:pPr>
        <w:pStyle w:val="ListParagraph"/>
        <w:numPr>
          <w:ilvl w:val="0"/>
          <w:numId w:val="3"/>
        </w:numPr>
        <w:spacing w:after="80"/>
      </w:pPr>
      <w:r>
        <w:t xml:space="preserve">Your finances, finally clear.</w:t>
      </w:r>
    </w:p>
    <w:p>
      <w:pPr>
        <w:pStyle w:val="ListParagraph"/>
        <w:numPr>
          <w:ilvl w:val="0"/>
          <w:numId w:val="3"/>
        </w:numPr>
        <w:spacing w:after="80"/>
      </w:pPr>
      <w:r>
        <w:t xml:space="preserve">Built to track. Built to grow.</w:t>
      </w:r>
    </w:p>
    <w:p>
      <w:pPr>
        <w:pStyle w:val="ListParagraph"/>
        <w:numPr>
          <w:ilvl w:val="0"/>
          <w:numId w:val="3"/>
        </w:numPr>
        <w:spacing w:after="80"/>
      </w:pPr>
      <w:r>
        <w:t xml:space="preserve">Where every transaction adds up.</w:t>
      </w:r>
    </w:p>
    <w:p>
      <w:pPr>
        <w:pStyle w:val="ListParagraph"/>
        <w:numPr>
          <w:ilvl w:val="0"/>
          <w:numId w:val="3"/>
        </w:numPr>
        <w:spacing w:after="80"/>
      </w:pPr>
      <w:r>
        <w:t xml:space="preserve">Smarter money starts here.</w:t>
      </w:r>
    </w:p>
    <w:p>
      <w:pPr>
        <w:pStyle w:val="ListParagraph"/>
        <w:numPr>
          <w:ilvl w:val="0"/>
          <w:numId w:val="3"/>
        </w:numPr>
        <w:spacing w:after="80"/>
      </w:pPr>
      <w:r>
        <w:t xml:space="preserve">Effortless tracking. Real growth.</w:t>
      </w:r>
    </w:p>
    <w:p>
      <w:pPr>
        <w:pStyle w:val="ListParagraph"/>
        <w:numPr>
          <w:ilvl w:val="0"/>
          <w:numId w:val="3"/>
        </w:numPr>
        <w:spacing w:after="80"/>
      </w:pPr>
      <w:r>
        <w:t xml:space="preserve">The tally, taken care of.</w:t>
      </w:r>
    </w:p>
    <w:p>
      <w:pPr>
        <w:pStyle w:val="ListParagraph"/>
        <w:numPr>
          <w:ilvl w:val="0"/>
          <w:numId w:val="3"/>
        </w:numPr>
        <w:spacing w:after="80"/>
      </w:pPr>
      <w:r>
        <w:t xml:space="preserve">Your financial life, automatically organized.</w:t>
      </w:r>
    </w:p>
    <w:p>
      <w:pPr>
        <w:pStyle w:val="ListParagraph"/>
        <w:numPr>
          <w:ilvl w:val="0"/>
          <w:numId w:val="3"/>
        </w:numPr>
        <w:spacing w:after="80"/>
      </w:pPr>
      <w:r>
        <w:t xml:space="preserve">Clarity for every kobo, cedi, and dollar.</w:t>
      </w:r>
    </w:p>
    <w:p>
      <w:pPr>
        <w:pStyle w:val="Heading2"/>
      </w:pPr>
      <w:r>
        <w:t xml:space="preserve">14.2 Slogans</w:t>
      </w:r>
    </w:p>
    <w:p>
      <w:pPr>
        <w:pStyle w:val="ListParagraph"/>
        <w:numPr>
          <w:ilvl w:val="0"/>
          <w:numId w:val="3"/>
        </w:numPr>
        <w:spacing w:after="80"/>
      </w:pPr>
      <w:r>
        <w:t xml:space="preserve">Stop typing. Start tracking.</w:t>
      </w:r>
    </w:p>
    <w:p>
      <w:pPr>
        <w:pStyle w:val="ListParagraph"/>
        <w:numPr>
          <w:ilvl w:val="0"/>
          <w:numId w:val="3"/>
        </w:numPr>
        <w:spacing w:after="80"/>
      </w:pPr>
      <w:r>
        <w:t xml:space="preserve">Let your money tell its story.</w:t>
      </w:r>
    </w:p>
    <w:p>
      <w:pPr>
        <w:pStyle w:val="ListParagraph"/>
        <w:numPr>
          <w:ilvl w:val="0"/>
          <w:numId w:val="3"/>
        </w:numPr>
        <w:spacing w:after="80"/>
      </w:pPr>
      <w:r>
        <w:t xml:space="preserve">From bank alerts to financial clarity.</w:t>
      </w:r>
    </w:p>
    <w:p>
      <w:pPr>
        <w:pStyle w:val="ListParagraph"/>
        <w:numPr>
          <w:ilvl w:val="0"/>
          <w:numId w:val="3"/>
        </w:numPr>
        <w:spacing w:after="80"/>
      </w:pPr>
      <w:r>
        <w:t xml:space="preserve">Automatic by design. Empowering by nature.</w:t>
      </w:r>
    </w:p>
    <w:p>
      <w:pPr>
        <w:pStyle w:val="ListParagraph"/>
        <w:numPr>
          <w:ilvl w:val="0"/>
          <w:numId w:val="3"/>
        </w:numPr>
        <w:spacing w:after="80"/>
      </w:pPr>
      <w:r>
        <w:t xml:space="preserve">Your CFO, in your pocket.</w:t>
      </w:r>
    </w:p>
    <w:p>
      <w:pPr>
        <w:pStyle w:val="ListParagraph"/>
        <w:numPr>
          <w:ilvl w:val="0"/>
          <w:numId w:val="3"/>
        </w:numPr>
        <w:spacing w:after="80"/>
      </w:pPr>
      <w:r>
        <w:t xml:space="preserve">Built for how you actually spend.</w:t>
      </w:r>
    </w:p>
    <w:p>
      <w:pPr>
        <w:pStyle w:val="ListParagraph"/>
        <w:numPr>
          <w:ilvl w:val="0"/>
          <w:numId w:val="3"/>
        </w:numPr>
        <w:spacing w:after="80"/>
      </w:pPr>
      <w:r>
        <w:t xml:space="preserve">Financial discipline, without the discipline.</w:t>
      </w:r>
    </w:p>
    <w:p>
      <w:pPr>
        <w:pStyle w:val="ListParagraph"/>
        <w:numPr>
          <w:ilvl w:val="0"/>
          <w:numId w:val="3"/>
        </w:numPr>
        <w:spacing w:after="80"/>
      </w:pPr>
      <w:r>
        <w:t xml:space="preserve">Know your numbers without the work.</w:t>
      </w:r>
    </w:p>
    <w:p>
      <w:pPr>
        <w:pStyle w:val="ListParagraph"/>
        <w:numPr>
          <w:ilvl w:val="0"/>
          <w:numId w:val="3"/>
        </w:numPr>
        <w:spacing w:after="80"/>
      </w:pPr>
      <w:r>
        <w:t xml:space="preserve">One app. Every transaction. Total clarity.</w:t>
      </w:r>
    </w:p>
    <w:p>
      <w:pPr>
        <w:pStyle w:val="ListParagraph"/>
        <w:numPr>
          <w:ilvl w:val="0"/>
          <w:numId w:val="3"/>
        </w:numPr>
        <w:spacing w:after="80"/>
      </w:pPr>
      <w:r>
        <w:t xml:space="preserve">Designed for emerging markets. Built for everyone.</w:t>
      </w:r>
    </w:p>
    <w:p>
      <w:pPr>
        <w:pStyle w:val="ListParagraph"/>
        <w:numPr>
          <w:ilvl w:val="0"/>
          <w:numId w:val="3"/>
        </w:numPr>
        <w:spacing w:after="80"/>
      </w:pPr>
      <w:r>
        <w:t xml:space="preserve">Your habits, automatically understood.</w:t>
      </w:r>
    </w:p>
    <w:p>
      <w:pPr>
        <w:pStyle w:val="ListParagraph"/>
        <w:numPr>
          <w:ilvl w:val="0"/>
          <w:numId w:val="3"/>
        </w:numPr>
        <w:spacing w:after="80"/>
      </w:pPr>
      <w:r>
        <w:t xml:space="preserve">Where data becomes decisions.</w:t>
      </w:r>
    </w:p>
    <w:p>
      <w:pPr>
        <w:pStyle w:val="ListParagraph"/>
        <w:numPr>
          <w:ilvl w:val="0"/>
          <w:numId w:val="3"/>
        </w:numPr>
        <w:spacing w:after="80"/>
      </w:pPr>
      <w:r>
        <w:t xml:space="preserve">Finance, simplified by automation.</w:t>
      </w:r>
    </w:p>
    <w:p>
      <w:pPr>
        <w:pStyle w:val="ListParagraph"/>
        <w:numPr>
          <w:ilvl w:val="0"/>
          <w:numId w:val="3"/>
        </w:numPr>
        <w:spacing w:after="80"/>
      </w:pPr>
      <w:r>
        <w:t xml:space="preserve">The end of manual money tracking.</w:t>
      </w:r>
    </w:p>
    <w:p>
      <w:pPr>
        <w:pStyle w:val="ListParagraph"/>
        <w:numPr>
          <w:ilvl w:val="0"/>
          <w:numId w:val="3"/>
        </w:numPr>
        <w:spacing w:after="80"/>
      </w:pPr>
      <w:r>
        <w:t xml:space="preserve">Progress you can actually see.</w:t>
      </w:r>
    </w:p>
    <w:p>
      <w:pPr>
        <w:pStyle w:val="Heading2"/>
      </w:pPr>
      <w:r>
        <w:t xml:space="preserve">14.3 Campaign Themes</w:t>
      </w:r>
    </w:p>
    <w:p>
      <w:pPr>
        <w:pStyle w:val="ListParagraph"/>
        <w:numPr>
          <w:ilvl w:val="0"/>
          <w:numId w:val="3"/>
        </w:numPr>
        <w:spacing w:after="80"/>
      </w:pPr>
      <w:r>
        <w:t xml:space="preserve">“The App That Does the Typing for You” — launch campaign focused on automatic SMS/email capture</w:t>
      </w:r>
    </w:p>
    <w:p>
      <w:pPr>
        <w:pStyle w:val="ListParagraph"/>
        <w:numPr>
          <w:ilvl w:val="0"/>
          <w:numId w:val="3"/>
        </w:numPr>
        <w:spacing w:after="80"/>
      </w:pPr>
      <w:r>
        <w:t xml:space="preserve">“Where Did It All Go?” — awareness campaign around the universal frustration of untracked spending</w:t>
      </w:r>
    </w:p>
    <w:p>
      <w:pPr>
        <w:pStyle w:val="ListParagraph"/>
        <w:numPr>
          <w:ilvl w:val="0"/>
          <w:numId w:val="3"/>
        </w:numPr>
        <w:spacing w:after="80"/>
      </w:pPr>
      <w:r>
        <w:t xml:space="preserve">“Your Money, Decoded” — positioning Zinkro's AI insights as a translator between raw bank data and real understanding</w:t>
      </w:r>
    </w:p>
    <w:p>
      <w:pPr>
        <w:pStyle w:val="ListParagraph"/>
        <w:numPr>
          <w:ilvl w:val="0"/>
          <w:numId w:val="3"/>
        </w:numPr>
        <w:spacing w:after="80"/>
      </w:pPr>
      <w:r>
        <w:t xml:space="preserve">“30 Days to Clarity” — onboarding-focused campaign showing the first month's automatic summary as a hook</w:t>
      </w:r>
    </w:p>
    <w:p>
      <w:pPr>
        <w:pStyle w:val="ListParagraph"/>
        <w:numPr>
          <w:ilvl w:val="0"/>
          <w:numId w:val="3"/>
        </w:numPr>
        <w:spacing w:after="80"/>
      </w:pPr>
      <w:r>
        <w:t xml:space="preserve">“Built for the Hustle” — campaign targeting freelancers, side-hustlers, and multiple-income earners</w:t>
      </w:r>
    </w:p>
    <w:p>
      <w:pPr>
        <w:pStyle w:val="ListParagraph"/>
        <w:numPr>
          <w:ilvl w:val="0"/>
          <w:numId w:val="3"/>
        </w:numPr>
        <w:spacing w:after="80"/>
      </w:pPr>
      <w:r>
        <w:t xml:space="preserve">“Small Wins, Counted” — campaign celebrating savings milestones and positive financial habits</w:t>
      </w:r>
    </w:p>
    <w:p>
      <w:pPr>
        <w:pStyle w:val="ListParagraph"/>
        <w:numPr>
          <w:ilvl w:val="0"/>
          <w:numId w:val="3"/>
        </w:numPr>
        <w:spacing w:after="80"/>
      </w:pPr>
      <w:r>
        <w:t xml:space="preserve">“Finance Without the Spreadsheet” — campaign contrasting Zinkro with manual tracking methods</w:t>
      </w:r>
    </w:p>
    <w:p>
      <w:pPr>
        <w:pStyle w:val="ListParagraph"/>
        <w:numPr>
          <w:ilvl w:val="0"/>
          <w:numId w:val="3"/>
        </w:numPr>
        <w:spacing w:after="80"/>
      </w:pPr>
      <w:r>
        <w:t xml:space="preserve">“From Africa, For the World” — brand positioning campaign for international expansion phases</w:t>
      </w:r>
    </w:p>
    <w:p>
      <w:pPr>
        <w:pStyle w:val="Heading2"/>
      </w:pPr>
      <w:r>
        <w:t xml:space="preserve">14.4 Brand Statements &amp; Pitches</w:t>
      </w:r>
    </w:p>
    <w:p>
      <w:pPr>
        <w:spacing w:after="120"/>
      </w:pPr>
      <w:r>
        <w:rPr>
          <w:b/>
          <w:bCs/>
        </w:rPr>
        <w:t xml:space="preserve">Brand Statement: </w:t>
      </w:r>
      <w:r>
        <w:t xml:space="preserve">Zinkro is the AI-powered financial operating system that automatically tracks, categorizes, and analyzes every transaction — turning the financial data people already generate into the clarity, discipline, and growth they've always wanted but never had time to build.</w:t>
      </w:r>
    </w:p>
    <w:p>
      <w:pPr>
        <w:spacing w:after="120"/>
      </w:pPr>
      <w:r>
        <w:rPr>
          <w:b/>
          <w:bCs/>
        </w:rPr>
        <w:t xml:space="preserve">30-Second Elevator Pitch: </w:t>
      </w:r>
      <w:r>
        <w:t xml:space="preserve">“Most people don't track their finances because every app makes them do the work — typing in expenses one by one. Zinkro flips that. It reads the transaction alerts your bank already sends you, automatically sorts them into categories like feeding, transport, and rent, and gives you a clear monthly picture of your money — without you doing anything. It's the financial operating system that builds itself around your life.”</w:t>
      </w:r>
    </w:p>
    <w:p>
      <w:pPr>
        <w:spacing w:after="120"/>
      </w:pPr>
      <w:r>
        <w:rPr>
          <w:b/>
          <w:bCs/>
        </w:rPr>
        <w:t xml:space="preserve">60-Second Pitch: </w:t>
      </w:r>
      <w:r>
        <w:t xml:space="preserve">“There are hundreds of budgeting apps, but almost everyone who downloads one stops using it within a few weeks — because they all require manual data entry. Meanwhile, every time someone spends money, their bank already sends them an SMS or email about it. Zinkro captures that existing data automatically, uses AI to categorize it — utilities, feeding, transport, gifts, rent — and turns it into a clear, ongoing picture of a person's financial life. Over time, Zinkro becomes more than a tracker: it's a budgeting tool, a savings engine, and a financial coach, all built on data the user never had to enter. We're starting with expense tracking for young professionals and freelancers across Africa — a market of hundreds of millions of people who are digitally active but financially underserved — and building toward a full financial operating system: budgeting, savings automation, bill management, and eventually credit and investing.”</w:t>
      </w:r>
    </w:p>
    <w:p>
      <w:pPr>
        <w:spacing w:after="120"/>
      </w:pPr>
      <w:r>
        <w:rPr>
          <w:b/>
          <w:bCs/>
        </w:rPr>
        <w:t xml:space="preserve">Investor Pitch (Summary): </w:t>
      </w:r>
      <w:r>
        <w:t xml:space="preserve">Zinkro addresses a structural failure in personal finance apps: manual data entry causes near-universal abandonment. By leveraging transactional SMS and email data — a channel already trusted and used by every banked consumer — Zinkro achieves automatic, zero-effort financial tracking from day one. This creates a uniquely 'sticky' data asset: the longer a user stays, the more personalized and valuable Zinkro's AI insights become, and the more natural it becomes to layer in monetizable financial products — savings, credit, and investment — on top of a foundation of trust and data.</w:t>
      </w:r>
    </w:p>
    <w:p>
      <w:pPr>
        <w:pStyle w:val="Heading1"/>
        <w:pageBreakBefore/>
      </w:pPr>
      <w:r>
        <w:t xml:space="preserve">Section 15 — Social Media Brand System</w:t>
      </w:r>
    </w:p>
    <w:p>
      <w:pPr>
        <w:pStyle w:val="Heading2"/>
      </w:pPr>
      <w:r>
        <w:t xml:space="preserve">15.1 Content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60"/>
        <w:gridCol w:w="3800"/>
      </w:tblGrid>
      <w:tr>
        <w:trPr>
          <w:tblHeader/>
        </w:trPr>
        <w:tc>
          <w:tcPr>
            <w:tcW w:type="dxa" w:w="18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Pillar</w:t>
            </w:r>
          </w:p>
        </w:tc>
        <w:tc>
          <w:tcPr>
            <w:tcW w:type="dxa" w:w="37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Description</w:t>
            </w:r>
          </w:p>
        </w:tc>
        <w:tc>
          <w:tcPr>
            <w:tcW w:type="dxa" w:w="38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Example Post</w:t>
            </w:r>
          </w:p>
        </w:tc>
      </w:tr>
      <w:tr>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Financial Education</w:t>
            </w:r>
          </w:p>
        </w:tc>
        <w:tc>
          <w:tcPr>
            <w:tcW w:type="dxa" w:w="37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Bite-sized explainers on budgeting, saving, and money concepts in plain language.</w:t>
            </w:r>
          </w:p>
        </w:tc>
        <w:tc>
          <w:tcPr>
            <w:tcW w:type="dxa" w:w="3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“What is the 50/30/20 rule — and does it work with irregular income?”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Product in Action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Short demos showing automatic categorization, monthly summaries, and goal tracking.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Screen recording: a bank alert arriving and instantly appearing, categorized, in Zinkro.</w:t>
            </w:r>
          </w:p>
        </w:tc>
      </w:tr>
      <w:tr>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Community Wins</w:t>
            </w:r>
          </w:p>
        </w:tc>
        <w:tc>
          <w:tcPr>
            <w:tcW w:type="dxa" w:w="37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User stories and milestones (with permission) — savings goals hit, spending reduced.</w:t>
            </w:r>
          </w:p>
        </w:tc>
        <w:tc>
          <w:tcPr>
            <w:tcW w:type="dxa" w:w="3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“One Zinkro user cut their transport spend by 18% in 60 days — just by seeing it clearly for the first time.”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Market &amp; Money Insights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Light commentary on cost-of-living trends, currency movements, and what they mean for everyday spending.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“Fuel prices moved again this month — here's what that could mean for your transport budget.”</w:t>
            </w:r>
          </w:p>
        </w:tc>
      </w:tr>
      <w:tr>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Behind the Scenes / Brand</w:t>
            </w:r>
          </w:p>
        </w:tc>
        <w:tc>
          <w:tcPr>
            <w:tcW w:type="dxa" w:w="37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Team, culture, and product-development content that builds trust and humanizes the brand.</w:t>
            </w:r>
          </w:p>
        </w:tc>
        <w:tc>
          <w:tcPr>
            <w:tcW w:type="dxa" w:w="3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“How we designed Zinkro's automatic categorization to recognize over 40 banks across Africa.”</w:t>
            </w:r>
          </w:p>
        </w:tc>
      </w:tr>
    </w:tbl>
    <w:p>
      <w:pPr>
        <w:pStyle w:val="Heading2"/>
      </w:pPr>
      <w:r>
        <w:t xml:space="preserve">15.2 Platform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Platform</w:t>
            </w:r>
          </w:p>
        </w:tc>
        <w:tc>
          <w:tcPr>
            <w:tcW w:type="dxa" w:w="75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Visual &amp; Tone Guidelines</w:t>
            </w:r>
          </w:p>
        </w:tc>
      </w:tr>
      <w:tr>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Instagram</w:t>
            </w:r>
          </w:p>
        </w:tc>
        <w:tc>
          <w:tcPr>
            <w:tcW w:type="dxa" w:w="75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Carousel posts for education content using Sora headlines on Charcoal backgrounds with gradient accents; Reels for product demos and community wins; tone is the most visually expressive of all channels while staying within the core palette.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LinkedIn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Positions Zinkro as a fintech thought leader — longer-form posts on financial inclusion, market insights, and company milestones; visuals favor clean data charts using the category color system.</w:t>
            </w:r>
          </w:p>
        </w:tc>
      </w:tr>
      <w:tr>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Facebook</w:t>
            </w:r>
          </w:p>
        </w:tc>
        <w:tc>
          <w:tcPr>
            <w:tcW w:type="dxa" w:w="75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Mirrors Instagram content with slightly longer captions; strong focus on Community Wins pillar to build trust with a broader, less tech-native audience.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X (Twitter)</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Short, sharp commentary on financial habits and product updates; conversational tone, occasional light humor consistent with brand voice.</w:t>
            </w:r>
          </w:p>
        </w:tc>
      </w:tr>
      <w:tr>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TikTok</w:t>
            </w:r>
          </w:p>
        </w:tc>
        <w:tc>
          <w:tcPr>
            <w:tcW w:type="dxa" w:w="75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Fast-paced, relatable financial education and 'day in the life of your money' style content; informal but never sloppy — still reflects brand voice principles.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YouTube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Longer educational content and product walkthroughs; intros/outros use the full logo lockup and brand gradient; thumbnails follow Display typography (Sora Bold) on Charcoal backgrounds.</w:t>
            </w:r>
          </w:p>
        </w:tc>
      </w:tr>
    </w:tbl>
    <w:p>
      <w:pPr>
        <w:pStyle w:val="Heading2"/>
      </w:pPr>
      <w:r>
        <w:t xml:space="preserve">15.3 Visual Hierarchy &amp; Post Structure</w:t>
      </w:r>
    </w:p>
    <w:p>
      <w:pPr>
        <w:pStyle w:val="ListParagraph"/>
        <w:numPr>
          <w:ilvl w:val="0"/>
          <w:numId w:val="2"/>
        </w:numPr>
        <w:spacing w:after="80"/>
      </w:pPr>
      <w:r>
        <w:t xml:space="preserve">Every post template includes the circular badge icon in a consistent corner position for brand recognition even when shared without captions.</w:t>
      </w:r>
    </w:p>
    <w:p>
      <w:pPr>
        <w:pStyle w:val="ListParagraph"/>
        <w:numPr>
          <w:ilvl w:val="0"/>
          <w:numId w:val="2"/>
        </w:numPr>
        <w:spacing w:after="80"/>
      </w:pPr>
      <w:r>
        <w:t xml:space="preserve">Headlines on graphics use Sora Bold; supporting text uses Inter Regular — no other typefaces permitted in social templates.</w:t>
      </w:r>
    </w:p>
    <w:p>
      <w:pPr>
        <w:pStyle w:val="ListParagraph"/>
        <w:numPr>
          <w:ilvl w:val="0"/>
          <w:numId w:val="2"/>
        </w:numPr>
        <w:spacing w:after="80"/>
      </w:pPr>
      <w:r>
        <w:t xml:space="preserve">The brand gradient is reserved for one focal element per post (a headline, a key statistic, or a CTA button) to maintain its impact.</w:t>
      </w:r>
    </w:p>
    <w:p>
      <w:pPr>
        <w:pStyle w:val="ListParagraph"/>
        <w:numPr>
          <w:ilvl w:val="0"/>
          <w:numId w:val="2"/>
        </w:numPr>
        <w:spacing w:after="80"/>
      </w:pPr>
      <w:r>
        <w:t xml:space="preserve">Category color-coding is used consistently in any chart or data visualization shared on social media, matching the in-app system.</w:t>
      </w:r>
    </w:p>
    <w:p>
      <w:pPr>
        <w:pStyle w:val="Heading1"/>
        <w:pageBreakBefore/>
      </w:pPr>
      <w:r>
        <w:t xml:space="preserve">Section 16 — Brand Applications</w:t>
      </w:r>
    </w:p>
    <w:p>
      <w:pPr>
        <w:spacing w:after="160"/>
      </w:pPr>
      <w:r>
        <w:t xml:space="preserve">The following table outlines how the Zinkro identity system should be applied across key brand touchpoints.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Application</w:t>
            </w:r>
          </w:p>
        </w:tc>
        <w:tc>
          <w:tcPr>
            <w:tcW w:type="dxa" w:w="69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Guidelines</w:t>
            </w:r>
          </w:p>
        </w:tc>
      </w:tr>
      <w:tr>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Mobile App</w:t>
            </w:r>
          </w:p>
        </w:tc>
        <w:tc>
          <w:tcPr>
            <w:tcW w:type="dxa" w:w="69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Primary canvas for the identity. Dark mode default per Section 7.5; circular badge as app icon; full lockup on splash screen.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Website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Charcoal hero sections with gradient highlights; lockup in navigation header; Sora for headlines, Inter for body; product screenshots framed in device mockups using brand colors.</w:t>
            </w:r>
          </w:p>
        </w:tc>
      </w:tr>
      <w:tr>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Business Cards</w:t>
            </w:r>
          </w:p>
        </w:tc>
        <w:tc>
          <w:tcPr>
            <w:tcW w:type="dxa" w:w="69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Charcoal background, off-white text, circular badge icon; minimal layout — name, role, contact details, and lockup only.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Letterhead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White background for print practicality; lockup at top, Slate Gray footer rule with company registration details in Inter.</w:t>
            </w:r>
          </w:p>
        </w:tc>
      </w:tr>
      <w:tr>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Presentation Deck (Internal)</w:t>
            </w:r>
          </w:p>
        </w:tc>
        <w:tc>
          <w:tcPr>
            <w:tcW w:type="dxa" w:w="69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White or Charcoal template options; Sora headers, Inter body, category color system for any data visualization.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Investor Deck</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Charcoal base with the Investor Deck palette (Section 7.5); every metrics slide uses Success Green for positive trends and Alert Coral only for risk/challenge slides.</w:t>
            </w:r>
          </w:p>
        </w:tc>
      </w:tr>
      <w:tr>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Email Signature</w:t>
            </w:r>
          </w:p>
        </w:tc>
        <w:tc>
          <w:tcPr>
            <w:tcW w:type="dxa" w:w="69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Compact lockup (icon + 'Zinkro' wordmark) at 120px width, Slate Gray text for name/title, Electric Blue for hyperlinks.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Office Branding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Circular badge as primary wall signage element; gradient used as a large-scale accent wall or lighting feature rather than printed graphic where possible.</w:t>
            </w:r>
          </w:p>
        </w:tc>
      </w:tr>
      <w:tr>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Merchandise</w:t>
            </w:r>
          </w:p>
        </w:tc>
        <w:tc>
          <w:tcPr>
            <w:tcW w:type="dxa" w:w="69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Solid gradient mark or square tile for apparel and stickers; tagline 'Track it all, automatically' as secondary print element on items like notebooks.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Employee Materials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Onboarding decks and internal documents follow the Corporate/Presentation palette; internal culture materials may use the full gradient more liberally than customer-facing materials.</w:t>
            </w:r>
          </w:p>
        </w:tc>
      </w:tr>
      <w:tr>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Event Materials</w:t>
            </w:r>
          </w:p>
        </w:tc>
        <w:tc>
          <w:tcPr>
            <w:tcW w:type="dxa" w:w="69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Banners and step-and-repeats use the circular badge at large scale on Charcoal; QR codes for app download styled with rounded corners matching the icon's geometry.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Advertising (Digital)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Display ads lead with a single, clear benefit statement (from Section 14.2) paired with the lockup; gradient backgrounds reserved for hero/awareness ads, not retargeting ads (which should be more product-focused).</w:t>
            </w:r>
          </w:p>
        </w:tc>
      </w:tr>
      <w:tr>
        <w:tc>
          <w:tcPr>
            <w:tcW w:type="dxa" w:w="24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Outdoor Media (Billboards/Transit)</w:t>
            </w:r>
          </w:p>
        </w:tc>
        <w:tc>
          <w:tcPr>
            <w:tcW w:type="dxa" w:w="69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Maximum simplicity: circular badge or square tile, tagline, and a single statement (e.g. 'Track it all, automatically.') in Sora Bold on Charcoal — designed to be legible at distance and speed.</w:t>
            </w:r>
          </w:p>
        </w:tc>
      </w:tr>
    </w:tbl>
    <w:p>
      <w:pPr>
        <w:pStyle w:val="Heading1"/>
        <w:pageBreakBefore/>
      </w:pPr>
      <w:r>
        <w:t xml:space="preserve">Section 17 — Brand Governance</w:t>
      </w:r>
    </w:p>
    <w:p>
      <w:pPr>
        <w:pStyle w:val="Heading2"/>
      </w:pPr>
      <w:r>
        <w:t xml:space="preserve">17.1 Logo Usage Rules</w:t>
      </w:r>
    </w:p>
    <w:p>
      <w:pPr>
        <w:pStyle w:val="ListParagraph"/>
        <w:numPr>
          <w:ilvl w:val="0"/>
          <w:numId w:val="2"/>
        </w:numPr>
        <w:spacing w:after="80"/>
      </w:pPr>
      <w:r>
        <w:t xml:space="preserve">Always use approved logo files (Section 5.4) — never recreate, redraw, or recolor the mark.</w:t>
      </w:r>
    </w:p>
    <w:p>
      <w:pPr>
        <w:pStyle w:val="ListParagraph"/>
        <w:numPr>
          <w:ilvl w:val="0"/>
          <w:numId w:val="2"/>
        </w:numPr>
        <w:spacing w:after="80"/>
      </w:pPr>
      <w:r>
        <w:t xml:space="preserve">The gradient (#3D7FFF → #00D4D4) must always run from blue to teal in the same diagonal direction; never reverse, rotate beyond approved orientations, or substitute other colors.</w:t>
      </w:r>
    </w:p>
    <w:p>
      <w:pPr>
        <w:pStyle w:val="ListParagraph"/>
        <w:numPr>
          <w:ilvl w:val="0"/>
          <w:numId w:val="2"/>
        </w:numPr>
        <w:spacing w:after="80"/>
      </w:pPr>
      <w:r>
        <w:t xml:space="preserve">The circular badge and square tile are interchangeable as app/social icons but should not both appear on the same surface simultaneously.</w:t>
      </w:r>
    </w:p>
    <w:p>
      <w:pPr>
        <w:pStyle w:val="Heading2"/>
      </w:pPr>
      <w:r>
        <w:t xml:space="preserve">17.2 Spacing &amp; Minimum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Rule</w:t>
            </w:r>
          </w:p>
        </w:tc>
        <w:tc>
          <w:tcPr>
            <w:tcW w:type="dxa" w:w="63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Specification</w:t>
            </w:r>
          </w:p>
        </w:tc>
      </w:tr>
      <w:tr>
        <w:tc>
          <w:tcPr>
            <w:tcW w:type="dxa" w:w="3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Clear space</w:t>
            </w:r>
          </w:p>
        </w:tc>
        <w:tc>
          <w:tcPr>
            <w:tcW w:type="dxa" w:w="63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Minimum clear space equal to the height of one bracket arm on all sides of the icon (see Section 5.5)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Minimum digital size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24px for icons, 120px width for the full lockup</w:t>
            </w:r>
          </w:p>
        </w:tc>
      </w:tr>
      <w:tr>
        <w:tc>
          <w:tcPr>
            <w:tcW w:type="dxa" w:w="30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Minimum print size</w:t>
            </w:r>
          </w:p>
        </w:tc>
        <w:tc>
          <w:tcPr>
            <w:tcW w:type="dxa" w:w="63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10mm for icons, 30mm width for the full lockup</w:t>
            </w:r>
          </w:p>
        </w:tc>
      </w:tr>
    </w:tbl>
    <w:p>
      <w:pPr>
        <w:pStyle w:val="Heading2"/>
      </w:pPr>
      <w:r>
        <w:t xml:space="preserve">17.3 Color &amp; Typography Restrictions</w:t>
      </w:r>
    </w:p>
    <w:p>
      <w:pPr>
        <w:pStyle w:val="ListParagraph"/>
        <w:numPr>
          <w:ilvl w:val="0"/>
          <w:numId w:val="2"/>
        </w:numPr>
        <w:spacing w:after="80"/>
      </w:pPr>
      <w:r>
        <w:t xml:space="preserve">Do not apply the brand gradient to body text — reserve it for icons, key headlines, and progress indicators only.</w:t>
      </w:r>
    </w:p>
    <w:p>
      <w:pPr>
        <w:pStyle w:val="ListParagraph"/>
        <w:numPr>
          <w:ilvl w:val="0"/>
          <w:numId w:val="2"/>
        </w:numPr>
        <w:spacing w:after="80"/>
      </w:pPr>
      <w:r>
        <w:t xml:space="preserve">Do not introduce additional accent colors outside the system defined in Section 7 without design leadership approval.</w:t>
      </w:r>
    </w:p>
    <w:p>
      <w:pPr>
        <w:pStyle w:val="ListParagraph"/>
        <w:numPr>
          <w:ilvl w:val="0"/>
          <w:numId w:val="2"/>
        </w:numPr>
        <w:spacing w:after="80"/>
      </w:pPr>
      <w:r>
        <w:t xml:space="preserve">Do not substitute Inter or Sora with system fonts (e.g. Arial, Roboto) in any customer-facing material; system fonts are acceptable only as technical fallbacks where custom fonts cannot be loaded.</w:t>
      </w:r>
    </w:p>
    <w:p>
      <w:pPr>
        <w:pStyle w:val="Heading2"/>
      </w:pPr>
      <w:r>
        <w:t xml:space="preserve">17.4 Common Misuse Examples</w:t>
      </w:r>
    </w:p>
    <w:p>
      <w:pPr>
        <w:pStyle w:val="ListParagraph"/>
        <w:numPr>
          <w:ilvl w:val="0"/>
          <w:numId w:val="2"/>
        </w:numPr>
        <w:spacing w:after="80"/>
      </w:pPr>
      <w:r>
        <w:t xml:space="preserve">Placing the dark-background lockup directly on busy photography without a solid or scrim background.</w:t>
      </w:r>
    </w:p>
    <w:p>
      <w:pPr>
        <w:pStyle w:val="ListParagraph"/>
        <w:numPr>
          <w:ilvl w:val="0"/>
          <w:numId w:val="2"/>
        </w:numPr>
        <w:spacing w:after="80"/>
      </w:pPr>
      <w:r>
        <w:t xml:space="preserve">Stretching or distorting the icon to fit a non-square or non-circular space.</w:t>
      </w:r>
    </w:p>
    <w:p>
      <w:pPr>
        <w:pStyle w:val="ListParagraph"/>
        <w:numPr>
          <w:ilvl w:val="0"/>
          <w:numId w:val="2"/>
        </w:numPr>
        <w:spacing w:after="80"/>
      </w:pPr>
      <w:r>
        <w:t xml:space="preserve">Using the solid gradient mark (Section 5.4) on light backgrounds where contrast with surrounding UI elements becomes insufficient.</w:t>
      </w:r>
    </w:p>
    <w:p>
      <w:pPr>
        <w:pStyle w:val="ListParagraph"/>
        <w:numPr>
          <w:ilvl w:val="0"/>
          <w:numId w:val="2"/>
        </w:numPr>
        <w:spacing w:after="80"/>
      </w:pPr>
      <w:r>
        <w:t xml:space="preserve">Recreating the pulse line with a different number of segments or proportions than the approved mark.</w:t>
      </w:r>
    </w:p>
    <w:p>
      <w:pPr>
        <w:pStyle w:val="Heading2"/>
      </w:pPr>
      <w:r>
        <w:t xml:space="preserve">17.5 Approval Process &amp; Compliance Checklist</w:t>
      </w:r>
    </w:p>
    <w:p>
      <w:pPr>
        <w:spacing w:after="160"/>
      </w:pPr>
      <w:r>
        <w:t xml:space="preserve">All new applications of the Zinkro identity — particularly partner co-branding, advertising creative, and merchandise — should be reviewed against the following checklist before approval:</w:t>
      </w:r>
    </w:p>
    <w:p>
      <w:pPr>
        <w:pStyle w:val="ListParagraph"/>
        <w:numPr>
          <w:ilvl w:val="0"/>
          <w:numId w:val="2"/>
        </w:numPr>
        <w:spacing w:after="80"/>
      </w:pPr>
      <w:r>
        <w:t xml:space="preserve">Correct logo variant used for the surface and background (Sections 5.4, 17.1)</w:t>
      </w:r>
    </w:p>
    <w:p>
      <w:pPr>
        <w:pStyle w:val="ListParagraph"/>
        <w:numPr>
          <w:ilvl w:val="0"/>
          <w:numId w:val="2"/>
        </w:numPr>
        <w:spacing w:after="80"/>
      </w:pPr>
      <w:r>
        <w:t xml:space="preserve">Clear space and minimum size requirements met (Section 17.2)</w:t>
      </w:r>
    </w:p>
    <w:p>
      <w:pPr>
        <w:pStyle w:val="ListParagraph"/>
        <w:numPr>
          <w:ilvl w:val="0"/>
          <w:numId w:val="2"/>
        </w:numPr>
        <w:spacing w:after="80"/>
      </w:pPr>
      <w:r>
        <w:t xml:space="preserve">Only approved colors used, matching defined hex values (Section 7)</w:t>
      </w:r>
    </w:p>
    <w:p>
      <w:pPr>
        <w:pStyle w:val="ListParagraph"/>
        <w:numPr>
          <w:ilvl w:val="0"/>
          <w:numId w:val="2"/>
        </w:numPr>
        <w:spacing w:after="80"/>
      </w:pPr>
      <w:r>
        <w:t xml:space="preserve">Typography limited to Inter and Sora (Section 8)</w:t>
      </w:r>
    </w:p>
    <w:p>
      <w:pPr>
        <w:pStyle w:val="ListParagraph"/>
        <w:numPr>
          <w:ilvl w:val="0"/>
          <w:numId w:val="2"/>
        </w:numPr>
        <w:spacing w:after="80"/>
      </w:pPr>
      <w:r>
        <w:t xml:space="preserve">Tone of any copy aligns with Voice &amp; Tone principles (Section 13)</w:t>
      </w:r>
    </w:p>
    <w:p>
      <w:pPr>
        <w:pStyle w:val="ListParagraph"/>
        <w:numPr>
          <w:ilvl w:val="0"/>
          <w:numId w:val="2"/>
        </w:numPr>
        <w:spacing w:after="80"/>
      </w:pPr>
      <w:r>
        <w:t xml:space="preserve">For data/financial visuals: category color system applied consistently (Section 7.4)</w:t>
      </w:r>
    </w:p>
    <w:p>
      <w:pPr>
        <w:pStyle w:val="Heading1"/>
        <w:pageBreakBefore/>
      </w:pPr>
      <w:r>
        <w:t xml:space="preserve">Section 18 — Future Brand Evolution</w:t>
      </w:r>
    </w:p>
    <w:p>
      <w:pPr>
        <w:pStyle w:val="Heading2"/>
      </w:pPr>
      <w:r>
        <w:t xml:space="preserve">18.1 Brand Architecture Model</w:t>
      </w:r>
    </w:p>
    <w:p>
      <w:pPr>
        <w:spacing w:after="160"/>
      </w:pPr>
      <w:r>
        <w:t xml:space="preserve">Zinkro is designed as a master brand with a family of focused sub-brands, each addressing a distinct stage of a user's financial journey. All sub-brands retain the core Pulse Bracket mark and brand colors, differentiated through a consistent naming pattern ('Zinkro [Function]') and a designated accent color drawn from the existing palette — avoiding the need for entirely new visual identities.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Sub-Brand</w:t>
            </w:r>
          </w:p>
        </w:tc>
        <w:tc>
          <w:tcPr>
            <w:tcW w:type="dxa" w:w="420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Purpose</w:t>
            </w:r>
          </w:p>
        </w:tc>
        <w:tc>
          <w:tcPr>
            <w:tcW w:type="dxa" w:w="3360"/>
            <w:tcBorders>
              <w:top w:val="single" w:color="CCCCCC" w:sz="1"/>
              <w:left w:val="single" w:color="CCCCCC" w:sz="1"/>
              <w:bottom w:val="single" w:color="CCCCCC" w:sz="1"/>
              <w:right w:val="single" w:color="CCCCCC" w:sz="1"/>
            </w:tcBorders>
            <w:shd w:fill="0F1115" w:val="clear"/>
            <w:tcMar>
              <w:top w:type="dxa" w:w="60"/>
              <w:left w:type="dxa" w:w="100"/>
              <w:bottom w:type="dxa" w:w="60"/>
              <w:right w:type="dxa" w:w="100"/>
            </w:tcMar>
            <w:vAlign w:val="center"/>
          </w:tcPr>
          <w:p>
            <w:r>
              <w:rPr>
                <w:b/>
                <w:bCs/>
                <w:color w:val="FFFFFF"/>
                <w:sz w:val="18"/>
                <w:szCs w:val="18"/>
              </w:rPr>
              <w:t xml:space="preserve">Visual Differentiation</w:t>
            </w:r>
          </w:p>
        </w:tc>
      </w:tr>
      <w:tr>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Zinkro (Core)</w:t>
            </w:r>
          </w:p>
        </w:tc>
        <w:tc>
          <w:tcPr>
            <w:tcW w:type="dxa" w:w="4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Automatic expense tracking, categorization, and monthly insights — the entry point for all users.</w:t>
            </w:r>
          </w:p>
        </w:tc>
        <w:tc>
          <w:tcPr>
            <w:tcW w:type="dxa" w:w="33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Primary gradient (#3D7FFF → #00D4D4)</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Zinkro AI</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Conversational financial assistant providing personalized insights, forecasts, and recommendations.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Gradient mark with animated pulse-line treatment; Sora typography for AI responses</w:t>
            </w:r>
          </w:p>
        </w:tc>
      </w:tr>
      <w:tr>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Zinkro Wealth</w:t>
            </w:r>
          </w:p>
        </w:tc>
        <w:tc>
          <w:tcPr>
            <w:tcW w:type="dxa" w:w="4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Long-term savings, investment tracking, and net-worth monitoring for growth-stage users.</w:t>
            </w:r>
          </w:p>
        </w:tc>
        <w:tc>
          <w:tcPr>
            <w:tcW w:type="dxa" w:w="33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Success Green (#34D399) as primary accent alongside core gradient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Zinkro Business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Tools for small business owners and freelancers to separate and track business vs. personal finances.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Slate Gray (#8A8F98) and Electric Blue emphasis for a more 'professional' tone</w:t>
            </w:r>
          </w:p>
        </w:tc>
      </w:tr>
      <w:tr>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Zinkro Pay</w:t>
            </w:r>
          </w:p>
        </w:tc>
        <w:tc>
          <w:tcPr>
            <w:tcW w:type="dxa" w:w="4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Future payments and transfer functionality integrated directly into the platform.</w:t>
            </w:r>
          </w:p>
        </w:tc>
        <w:tc>
          <w:tcPr>
            <w:tcW w:type="dxa" w:w="33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Teal (#00D4D4) as primary accent, reflecting speed and movement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Zinkro Invest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Investment products and portfolio tracking for users ready to grow wealth beyond savings.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Purple (#9B7EDE) accent paired with core gradient for a 'premium' tier feel</w:t>
            </w:r>
          </w:p>
        </w:tc>
      </w:tr>
      <w:tr>
        <w:tc>
          <w:tcPr>
            <w:tcW w:type="dxa" w:w="18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Zinkro Credit</w:t>
            </w:r>
          </w:p>
        </w:tc>
        <w:tc>
          <w:tcPr>
            <w:tcW w:type="dxa" w:w="420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Credit scoring, lending, and credit-building products based on Zinkro's transaction history data.</w:t>
            </w:r>
          </w:p>
        </w:tc>
        <w:tc>
          <w:tcPr>
            <w:tcW w:type="dxa" w:w="3360"/>
            <w:tcBorders>
              <w:top w:val="single" w:color="CCCCCC" w:sz="1"/>
              <w:left w:val="single" w:color="CCCCCC" w:sz="1"/>
              <w:bottom w:val="single" w:color="CCCCCC" w:sz="1"/>
              <w:right w:val="single" w:color="CCCCCC" w:sz="1"/>
            </w:tcBorders>
            <w:shd w:fill="F5F6FA" w:val="clear"/>
            <w:tcMar>
              <w:top w:type="dxa" w:w="60"/>
              <w:left w:type="dxa" w:w="100"/>
              <w:bottom w:type="dxa" w:w="60"/>
              <w:right w:type="dxa" w:w="100"/>
            </w:tcMar>
            <w:vAlign w:val="center"/>
          </w:tcPr>
          <w:p>
            <w:r>
              <w:rPr>
                <w:sz w:val="18"/>
                <w:szCs w:val="18"/>
              </w:rPr>
              <w:t xml:space="preserve">Amber (#FFB84D) accent, signaling 'opportunity' while remaining within the warm end of the category palette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Zinkro Global</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International expansion brand umbrella for markets beyond initial launch geographies — same identity system, localized currency and language support.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sz w:val="18"/>
                <w:szCs w:val="18"/>
              </w:rPr>
              <w:t xml:space="preserve">No visual differentiation — identical to core brand to reinforce a single global standard</w:t>
            </w:r>
          </w:p>
        </w:tc>
      </w:tr>
    </w:tbl>
    <w:p>
      <w:pPr>
        <w:pStyle w:val="Heading2"/>
      </w:pPr>
      <w:r>
        <w:t xml:space="preserve">18.2 Evolution Principles</w:t>
      </w:r>
    </w:p>
    <w:p>
      <w:pPr>
        <w:pStyle w:val="ListParagraph"/>
        <w:numPr>
          <w:ilvl w:val="0"/>
          <w:numId w:val="2"/>
        </w:numPr>
        <w:spacing w:after="80"/>
      </w:pPr>
      <w:r>
        <w:t xml:space="preserve">Every sub-brand must remain instantly recognizable as part of the Zinkro family — the Pulse Bracket mark is never altered, only its accent context changes.</w:t>
      </w:r>
    </w:p>
    <w:p>
      <w:pPr>
        <w:pStyle w:val="ListParagraph"/>
        <w:numPr>
          <w:ilvl w:val="0"/>
          <w:numId w:val="2"/>
        </w:numPr>
        <w:spacing w:after="80"/>
      </w:pPr>
      <w:r>
        <w:t xml:space="preserve">New accent colors introduced for future sub-brands should be tested against the existing palette (Section 7) for harmony and accessibility before adoption.</w:t>
      </w:r>
    </w:p>
    <w:p>
      <w:pPr>
        <w:pStyle w:val="ListParagraph"/>
        <w:numPr>
          <w:ilvl w:val="0"/>
          <w:numId w:val="2"/>
        </w:numPr>
        <w:spacing w:after="80"/>
      </w:pPr>
      <w:r>
        <w:t xml:space="preserve">As Zinkro expands internationally (Zinkro Global), the core identity system is designed to require zero structural changes — only localization of currency symbols, language, and category examples.</w:t>
      </w:r>
    </w:p>
    <w:p>
      <w:pPr>
        <w:pStyle w:val="ListParagraph"/>
        <w:numPr>
          <w:ilvl w:val="0"/>
          <w:numId w:val="2"/>
        </w:numPr>
        <w:spacing w:after="80"/>
      </w:pPr>
      <w:r>
        <w:t xml:space="preserve">This brand guide should be reviewed and versioned (e.g. v1.0 → v2.0) at each major product expansion milestone to ensure new surfaces and sub-brands remain governed by a single source of truth.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F9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A8F98"/>
        <w:spacing w:val="20"/>
        <w:sz w:val="16"/>
        <w:szCs w:val="16"/>
      </w:rPr>
      <w:t xml:space="preserve">ZINKRO BRAND GUIDE</w:t>
    </w:r>
    <w:r>
      <w:rPr>
        <w:color w:val="8A8F98"/>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C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D7FFF" w:sz="12" w:space="6"/>
      </w:pBdr>
      <w:spacing w:after="240" w:before="240"/>
      <w:outlineLvl w:val="0"/>
    </w:pPr>
    <w:rPr>
      <w:rFonts w:ascii="Arial" w:cs="Arial" w:eastAsia="Arial" w:hAnsi="Arial"/>
      <w:b/>
      <w:bCs/>
      <w:color w:val="0F1115"/>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3D7FFF"/>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1A1C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5e6d75128d8d7c47f8021d94c66cc6262a79e9d.png"/><Relationship Id="rId10" Type="http://schemas.openxmlformats.org/officeDocument/2006/relationships/image" Target="media/0aa0023ebe8c2d8b50c3ba7df49d2a936a61d1cf.png"/><Relationship Id="rId11" Type="http://schemas.openxmlformats.org/officeDocument/2006/relationships/image" Target="media/083affc32ab8e073b69d6ad38af8154b631d00a0.png"/><Relationship Id="rId12" Type="http://schemas.openxmlformats.org/officeDocument/2006/relationships/image" Target="media/696cbb45e0f6fc808e7c7da63f71a6b8d53e5d9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Zinkro Brand Identity Guide</dc:title>
  <dc:creator>Zinkro Brand Team</dc:creator>
  <cp:lastModifiedBy>Un-named</cp:lastModifiedBy>
  <cp:revision>1</cp:revision>
  <dcterms:created xsi:type="dcterms:W3CDTF">2026-06-11T17:55:44.042Z</dcterms:created>
  <dcterms:modified xsi:type="dcterms:W3CDTF">2026-06-11T17:55:44.042Z</dcterms:modified>
</cp:coreProperties>
</file>

<file path=docProps/custom.xml><?xml version="1.0" encoding="utf-8"?>
<Properties xmlns="http://schemas.openxmlformats.org/officeDocument/2006/custom-properties" xmlns:vt="http://schemas.openxmlformats.org/officeDocument/2006/docPropsVTypes"/>
</file>