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360" w:after="120"/>
        <w:rPr>
          <w:rFonts w:ascii="Calibri" w:hAnsi="Calibri" w:eastAsia="Calibri" w:cs="Calibri"/>
          <w:b/>
          <w:sz w:val="28"/>
          <w:szCs w:val="28"/>
        </w:rPr>
      </w:pPr>
      <w:r>
        <w:rPr/>
        <w:t>Redomif concede préstamos pequeños a los no bancarizados en RD</w:t>
      </w:r>
    </w:p>
    <w:p>
      <w:pPr>
        <w:pStyle w:val="TextBody"/>
        <w:rPr>
          <w:rFonts w:ascii="Calibri" w:hAnsi="Calibri" w:eastAsia="Calibri" w:cs="Calibri"/>
          <w:i/>
          <w:i/>
          <w:sz w:val="28"/>
          <w:szCs w:val="28"/>
        </w:rPr>
      </w:pPr>
      <w:r>
        <w:rPr>
          <w:rFonts w:eastAsia="Calibri" w:cs="Calibri" w:ascii="Calibri" w:hAnsi="Calibri"/>
          <w:i/>
          <w:sz w:val="28"/>
          <w:szCs w:val="28"/>
        </w:rPr>
        <w:t>El presidente del gremio, Mariano Frontera, sostuvo que los clientes de esta red representan cerca del 11% del total de los clientes regulados por la Superintendencia de Bancos, a pesar de tener solo poco más del 3% en la cartera.</w:t>
      </w:r>
    </w:p>
    <w:p>
      <w:pPr>
        <w:pStyle w:val="TextBody"/>
        <w:rPr/>
      </w:pPr>
      <w:r>
        <w:rPr/>
        <w:t>El acceso a un buen crédito bancario muchas veces se convierte en una misión casi imposible para muchas personas que en la mayoría de ocasiones no están ni bancarizadas. Una herramienta clave a esta problemática desde hace varias décadas han sido los microcréditos, que además impulsan el crecimiento económico y reducen la pobreza en República Dominicana.</w:t>
      </w:r>
    </w:p>
    <w:p>
      <w:pPr>
        <w:pStyle w:val="TextBody"/>
        <w:rPr/>
      </w:pPr>
      <w:r>
        <w:rPr>
          <w:rFonts w:eastAsia="Calibri" w:cs="Calibri" w:ascii="Calibri" w:hAnsi="Calibri"/>
          <w:sz w:val="28"/>
          <w:szCs w:val="28"/>
        </w:rPr>
        <w:t xml:space="preserve">En ese ámbito, </w:t>
      </w:r>
      <w:hyperlink r:id="rId2">
        <w:r>
          <w:rPr>
            <w:rFonts w:eastAsia="Calibri" w:cs="Calibri" w:ascii="Calibri" w:hAnsi="Calibri"/>
            <w:color w:val="1155CC"/>
            <w:sz w:val="28"/>
            <w:szCs w:val="28"/>
            <w:u w:val="single"/>
          </w:rPr>
          <w:t xml:space="preserve">el sector del microcrédito se ha vuelto más competitivo con la participación de las entidades de intermediación financiera (EIF), especialmente de las 27 entidades agrupadas en la Red Dominicana de Microfinanzas (Redomif). </w:t>
        </w:r>
      </w:hyperlink>
    </w:p>
    <w:p>
      <w:pPr>
        <w:pStyle w:val="TextBody"/>
        <w:rPr/>
      </w:pPr>
      <w:r>
        <w:rPr/>
      </w:r>
    </w:p>
    <w:p>
      <w:pPr>
        <w:pStyle w:val="TextBody"/>
        <w:rPr>
          <w:rFonts w:ascii="Calibri" w:hAnsi="Calibri" w:eastAsia="Calibri" w:cs="Calibri"/>
          <w:sz w:val="28"/>
          <w:szCs w:val="28"/>
        </w:rPr>
      </w:pPr>
      <w:bookmarkStart w:id="0" w:name="_GoBack"/>
      <w:bookmarkEnd w:id="0"/>
      <w:r>
        <w:rPr/>
        <w:t>Estas entidades incluyen bancos múltiples, bancos de ahorro y crédito, asociaciones de ahorros y préstamos, cooperativas de ahorro y crédito y organizaciones no gubernamentales (ONG).</w:t>
      </w:r>
    </w:p>
    <w:p>
      <w:pPr>
        <w:pStyle w:val="TextBody"/>
        <w:rPr/>
      </w:pPr>
      <w:r>
        <w:rPr/>
      </w:r>
    </w:p>
    <w:p>
      <w:pPr>
        <w:pStyle w:val="TextBody"/>
        <w:rPr>
          <w:rFonts w:ascii="Calibri" w:hAnsi="Calibri" w:eastAsia="Calibri" w:cs="Calibri"/>
          <w:sz w:val="28"/>
          <w:szCs w:val="28"/>
        </w:rPr>
      </w:pPr>
      <w:r>
        <w:rPr/>
        <w:t>El presidente del gremio, Mariano Frontera, sostuvo que los clientes de esta red representan cerca del 11% del total de los clientes regulados por la Superintendencia de Bancos (SB), a pesar de tener solo poco más del 3% en la cartera. También expuso que Redomif tiene un impacto significativo en la inclusión financiera, con una cartera de préstamos a mujeres del 45.2%, superando a las entidades reguladas y con la meta de superar el 50%.</w:t>
      </w:r>
    </w:p>
    <w:p>
      <w:pPr>
        <w:pStyle w:val="TextBody"/>
        <w:rPr/>
      </w:pPr>
      <w:r>
        <w:rPr/>
      </w:r>
    </w:p>
    <w:p>
      <w:pPr>
        <w:pStyle w:val="TextBody"/>
        <w:rPr>
          <w:rFonts w:ascii="Calibri" w:hAnsi="Calibri" w:eastAsia="Calibri" w:cs="Calibri"/>
          <w:sz w:val="28"/>
          <w:szCs w:val="28"/>
        </w:rPr>
      </w:pPr>
      <w:r>
        <w:rPr/>
        <w:t>En el congreso “Presente y Futuro de las Microfinanzas en República Dominicana”, en su 15 aniversario Frontera, destacó que entre los principales desafíos de esta red mantener la digitalización sin perder la relación con el cliente, y brindar servicios financieros a la mitad (50%) de la población dominicana que no está bancarizada.</w:t>
      </w:r>
    </w:p>
    <w:p>
      <w:pPr>
        <w:pStyle w:val="TextBody"/>
        <w:rPr/>
      </w:pPr>
      <w:r>
        <w:rPr/>
      </w:r>
    </w:p>
    <w:p>
      <w:pPr>
        <w:pStyle w:val="TextBody"/>
        <w:rPr>
          <w:rFonts w:ascii="Calibri" w:hAnsi="Calibri" w:eastAsia="Calibri" w:cs="Calibri"/>
          <w:sz w:val="28"/>
          <w:szCs w:val="28"/>
        </w:rPr>
      </w:pPr>
      <w:r>
        <w:rPr/>
        <w:t>El ejecutivo agregó que Redomif contribuye al equilibrio del financiamiento total y tiene un impacto equitativo en las zonas más vulnerables del país, como la zona sur. Dijo además que el gremio se enfoca en la capacitación y educación financiera, siguiendo el principio de gradualidad al otorgar montos pequeños en corto plazo y luego renovarlos por montos mayores.</w:t>
      </w:r>
    </w:p>
    <w:p>
      <w:pPr>
        <w:pStyle w:val="TextBody"/>
        <w:rPr/>
      </w:pPr>
      <w:r>
        <w:rPr/>
      </w:r>
    </w:p>
    <w:p>
      <w:pPr>
        <w:pStyle w:val="TextBody"/>
        <w:rPr>
          <w:rFonts w:ascii="Calibri" w:hAnsi="Calibri" w:eastAsia="Calibri" w:cs="Calibri"/>
          <w:b/>
          <w:color w:val="3CC1D2"/>
          <w:sz w:val="28"/>
          <w:szCs w:val="28"/>
        </w:rPr>
      </w:pPr>
      <w:r>
        <w:rPr/>
        <w:t>La entidad proyecta para el próximo año que el crecimiento de la cartera esté por encima del 16% o 17% entre los miembros de Redomif. “Actualmente, la cartera conjunta de todos los miembros de Redomif alcanza los RD$58,000 millones”, subrayó el ejecutivo en el evento que se realizó en el Hotel Embassy Suites by Hilton.</w:t>
      </w:r>
    </w:p>
    <w:p>
      <w:pPr>
        <w:pStyle w:val="Normal"/>
        <w:widowControl w:val="false"/>
        <w:spacing w:lineRule="auto" w:line="240" w:before="0" w:after="200"/>
        <w:jc w:val="both"/>
        <w:rPr>
          <w:rFonts w:ascii="Calibri" w:hAnsi="Calibri" w:eastAsia="Calibri" w:cs="Calibri"/>
          <w:b/>
          <w:color w:val="3CC1D2"/>
          <w:sz w:val="28"/>
          <w:szCs w:val="28"/>
        </w:rPr>
      </w:pPr>
      <w:r>
        <w:rPr>
          <w:rFonts w:eastAsia="Calibri" w:cs="Calibri" w:ascii="Calibri" w:hAnsi="Calibri"/>
          <w:b/>
          <w:color w:val="3CC1D2"/>
          <w:sz w:val="28"/>
          <w:szCs w:val="28"/>
        </w:rPr>
      </w:r>
    </w:p>
    <w:p>
      <w:pPr>
        <w:pStyle w:val="Heading4"/>
        <w:rPr>
          <w:rFonts w:ascii="Calibri" w:hAnsi="Calibri" w:eastAsia="Calibri" w:cs="Calibri"/>
          <w:b/>
          <w:sz w:val="28"/>
          <w:szCs w:val="28"/>
        </w:rPr>
      </w:pPr>
      <w:r>
        <w:rPr/>
        <w:t xml:space="preserve">Redomif, Préstamos pequeños, No bancarizados, Microcrédito </w:t>
      </w:r>
    </w:p>
    <w:p>
      <w:pPr>
        <w:pStyle w:val="Normal"/>
        <w:rPr/>
      </w:pPr>
      <w:r>
        <w:rPr/>
      </w:r>
    </w:p>
    <w:p>
      <w:pPr>
        <w:pStyle w:val="Normal"/>
        <w:spacing w:lineRule="auto" w:line="240"/>
        <w:jc w:val="both"/>
        <w:rPr>
          <w:rFonts w:ascii="Calibri" w:hAnsi="Calibri" w:eastAsia="Calibri" w:cs="Calibri"/>
          <w:sz w:val="28"/>
          <w:szCs w:val="28"/>
        </w:rPr>
      </w:pPr>
      <w:r>
        <w:rPr>
          <w:rFonts w:eastAsia="Calibri" w:cs="Calibri" w:ascii="Calibri" w:hAnsi="Calibri"/>
          <w:sz w:val="28"/>
          <w:szCs w:val="28"/>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es-E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ldinero.com.do/254813/redomif-concede-prestamos-pequenos-a-los-no-bancarizados-en-rd/"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LibreOffice/7.5.8.2$Linux_X86_64 LibreOffice_project/50$Build-2</Application>
  <AppVersion>15.0000</AppVersion>
  <Pages>2</Pages>
  <Words>412</Words>
  <Characters>2183</Characters>
  <CharactersWithSpaces>2587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2023-11-14T10:48:00Z</dcterms:created>
  <dc:creator>hp</dc:creator>
  <dc:description/>
  <dc:language>en-US</dc:language>
  <cp:lastModifiedBy/>
  <dcterms:modified xsi:type="dcterms:W3CDTF">2023-11-14T16:39:44Z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