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심평원(건강보험심사평가원) 시스템의 </w:t>
      </w:r>
      <w:r>
        <w:rPr>
          <w:b/>
          <w:bCs/>
        </w:rPr>
        <w:t xml:space="preserve">국제적 인정 사례</w:t>
      </w:r>
      <w:r>
        <w:t xml:space="preserve">와 그 </w:t>
      </w:r>
      <w:r>
        <w:rPr>
          <w:b/>
          <w:bCs/>
        </w:rPr>
        <w:t xml:space="preserve">의미를 분석하는 방법</w:t>
      </w:r>
      <w:r>
        <w:t xml:space="preserve">은 다음과 같이 정리할 수 있습니다.</w:t>
      </w:r>
    </w:p>
    <w:bookmarkStart w:id="13" w:name="국제적-인정-사례"/>
    <w:p>
      <w:pPr>
        <w:pStyle w:val="Heading2"/>
      </w:pPr>
      <w:r>
        <w:t xml:space="preserve">1. 국제적 인정 사례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시스템 수출 및 도입 사례</w:t>
      </w:r>
    </w:p>
    <w:p>
      <w:pPr>
        <w:numPr>
          <w:ilvl w:val="1"/>
          <w:numId w:val="1002"/>
        </w:numPr>
      </w:pPr>
      <w:r>
        <w:rPr>
          <w:b/>
          <w:bCs/>
        </w:rPr>
        <w:t xml:space="preserve">바레인</w:t>
      </w:r>
      <w:r>
        <w:t xml:space="preserve"> 등 중동·중남미 국가들이 심평원 시스템(HIRA 시스템)을 도입하거나 협력 양해각서(MOU)를 체결함</w:t>
      </w:r>
      <w:hyperlink r:id="rId9"/>
      <w:r>
        <w:t xml:space="preserve">.</w:t>
      </w:r>
    </w:p>
    <w:p>
      <w:pPr>
        <w:numPr>
          <w:ilvl w:val="1"/>
          <w:numId w:val="1002"/>
        </w:numPr>
      </w:pPr>
      <w:r>
        <w:t xml:space="preserve">바레인 보건당국은 심평원 시스템의 성공적 이식을 계기로, 중동 및 아시아, 남미 지역으로 확산 가능성을 높이 평가함</w:t>
      </w:r>
      <w:hyperlink r:id="rId9"/>
      <w:r>
        <w:t xml:space="preserve">.</w:t>
      </w:r>
    </w:p>
    <w:p>
      <w:pPr>
        <w:numPr>
          <w:ilvl w:val="1"/>
          <w:numId w:val="1002"/>
        </w:numPr>
      </w:pPr>
      <w:r>
        <w:rPr>
          <w:b/>
          <w:bCs/>
        </w:rPr>
        <w:t xml:space="preserve">가나, 케냐, 인도, 말레이시아, 필리핀 등</w:t>
      </w:r>
      <w:r>
        <w:t xml:space="preserve">은 심평원과의 협력 또는 매뉴얼 활용을 통해 자국 심사평가체계 발전을 추진 중임</w:t>
      </w:r>
      <w:hyperlink r:id="rId10"/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국제 표준화 기여</w:t>
      </w:r>
    </w:p>
    <w:p>
      <w:pPr>
        <w:numPr>
          <w:ilvl w:val="1"/>
          <w:numId w:val="1003"/>
        </w:numPr>
      </w:pPr>
      <w:r>
        <w:t xml:space="preserve">심평원이 주도한 </w:t>
      </w:r>
      <w:r>
        <w:rPr>
          <w:b/>
          <w:bCs/>
        </w:rPr>
        <w:t xml:space="preserve">국제표준 심사평가 매뉴얼(Medical Audits Toolkit)</w:t>
      </w:r>
      <w:r>
        <w:t xml:space="preserve"> 개발에 여러 국가(8개국 23명 전문가)가 참여, 실제 각국 정책에 반영되고 있음</w:t>
      </w:r>
      <w:hyperlink r:id="rId10"/>
      <w:r>
        <w:t xml:space="preserve">.</w:t>
      </w:r>
    </w:p>
    <w:p>
      <w:pPr>
        <w:numPr>
          <w:ilvl w:val="1"/>
          <w:numId w:val="1003"/>
        </w:numPr>
      </w:pPr>
      <w:r>
        <w:t xml:space="preserve">WHO, OECD 등 국제기구와 공동학습네트워크(JLN)에서 심평원의 경험과 시스템을 벤치마킹하고, 의료비 관리·보편적 건강보장(UHC) 달성의 모범 사례로 인정함</w:t>
      </w:r>
      <w:hyperlink r:id="rId10"/>
      <w:hyperlink r:id="rId11"/>
      <w:r>
        <w:t xml:space="preserve">.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국제 협력 및 연수</w:t>
      </w:r>
    </w:p>
    <w:p>
      <w:pPr>
        <w:numPr>
          <w:ilvl w:val="1"/>
          <w:numId w:val="1004"/>
        </w:numPr>
      </w:pPr>
      <w:r>
        <w:t xml:space="preserve">매년 수많은 해외 보건당국 및 전문가(연 1,200명 이상)가 심평원을 방문해 시스템을 배우고, 실질적 지식·경험을 공유함</w:t>
      </w:r>
      <w:hyperlink r:id="rId9"/>
      <w:hyperlink r:id="rId11"/>
      <w:r>
        <w:t xml:space="preserve">.</w:t>
      </w:r>
    </w:p>
    <w:p>
      <w:pPr>
        <w:numPr>
          <w:ilvl w:val="1"/>
          <w:numId w:val="1004"/>
        </w:numPr>
      </w:pPr>
      <w:r>
        <w:t xml:space="preserve">국제 세미나, 연수, 컨설팅 등 다양한 방식으로 개발도상국 정책 개발에 직접적 기여</w:t>
      </w:r>
      <w:hyperlink r:id="rId11"/>
      <w:hyperlink r:id="rId12"/>
      <w:r>
        <w:t xml:space="preserve">.</w:t>
      </w:r>
    </w:p>
    <w:bookmarkEnd w:id="13"/>
    <w:bookmarkStart w:id="14" w:name="그-의미를-분석하는-방법"/>
    <w:p>
      <w:pPr>
        <w:pStyle w:val="Heading2"/>
      </w:pPr>
      <w:r>
        <w:t xml:space="preserve">2. 그 의미를 분석하는 방법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분석 방법</w:t>
            </w:r>
          </w:p>
        </w:tc>
        <w:tc>
          <w:tcPr/>
          <w:p>
            <w:pPr>
              <w:pStyle w:val="Compact"/>
            </w:pPr>
            <w:r>
              <w:t xml:space="preserve">주요 내용 및 적용 사례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정책 확산 효과</w:t>
            </w:r>
          </w:p>
        </w:tc>
        <w:tc>
          <w:tcPr/>
          <w:p>
            <w:pPr>
              <w:pStyle w:val="Compact"/>
            </w:pPr>
            <w:r>
              <w:t xml:space="preserve">심평원 시스템이 해외에 도입되어 각국의 의료비 관리, 데이터 표준화, 의료 질 관리 등 정책에 실질적으로 반영되는지 평가</w:t>
            </w:r>
            <w:hyperlink r:id="rId9"/>
            <w:hyperlink r:id="rId10"/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국제 표준화 기여</w:t>
            </w:r>
          </w:p>
        </w:tc>
        <w:tc>
          <w:tcPr/>
          <w:p>
            <w:pPr>
              <w:pStyle w:val="Compact"/>
            </w:pPr>
            <w:r>
              <w:t xml:space="preserve">국제 매뉴얼, 지침 개발 등에서 심평원이 주도적 역할을 했는지, 그리고 그 결과물이 실제로 여러 국가에서 활용되는지 확인</w:t>
            </w:r>
            <w:hyperlink r:id="rId10"/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글로벌 네트워크 형성</w:t>
            </w:r>
          </w:p>
        </w:tc>
        <w:tc>
          <w:tcPr/>
          <w:p>
            <w:pPr>
              <w:pStyle w:val="Compact"/>
            </w:pPr>
            <w:r>
              <w:t xml:space="preserve">국제 협의체(JLN 등)에서 심평원이 중심적 역할을 하며, 회원국 간 지식·경험 공유 및 상호 학습을 촉진하는지 분석</w:t>
            </w:r>
            <w:hyperlink r:id="rId10"/>
            <w:hyperlink r:id="rId11"/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경제·사회적 파급력</w:t>
            </w:r>
          </w:p>
        </w:tc>
        <w:tc>
          <w:tcPr/>
          <w:p>
            <w:pPr>
              <w:pStyle w:val="Compact"/>
            </w:pPr>
            <w:r>
              <w:t xml:space="preserve">시스템 수출로 인한 경제효과, 일자리 창출, 한국형 보건의료모델의 브랜드 가치 상승 등 간접적 영향까지 포괄적으로 평가</w:t>
            </w:r>
            <w:hyperlink r:id="rId9"/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지속가능성 및 확장성</w:t>
            </w:r>
          </w:p>
        </w:tc>
        <w:tc>
          <w:tcPr/>
          <w:p>
            <w:pPr>
              <w:pStyle w:val="Compact"/>
            </w:pPr>
            <w:r>
              <w:t xml:space="preserve">도입 국가에서 시스템이 안정적으로 운영되고, 추가 확산(다른 국가로의 전파) 가능성이 있는지 장기적 관점에서 검토</w:t>
            </w:r>
            <w:hyperlink r:id="rId9"/>
            <w:hyperlink r:id="rId10"/>
            <w:r>
              <w:t xml:space="preserve">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국제기구 평가</w:t>
            </w:r>
          </w:p>
        </w:tc>
        <w:tc>
          <w:tcPr/>
          <w:p>
            <w:pPr>
              <w:pStyle w:val="Compact"/>
            </w:pPr>
            <w:r>
              <w:t xml:space="preserve">WHO, OECD 등 국제기구의 공식 평가, 벤치마킹 사례, 정책 권고문 등에서 심평원 시스템의 위상과 역할을 객관적으로 분석</w:t>
            </w:r>
            <w:hyperlink r:id="rId10"/>
            <w:hyperlink r:id="rId11"/>
            <w:r>
              <w:t xml:space="preserve">.</w:t>
            </w:r>
          </w:p>
        </w:tc>
      </w:tr>
    </w:tbl>
    <w:bookmarkEnd w:id="14"/>
    <w:bookmarkStart w:id="15" w:name="결론-및-시사점"/>
    <w:p>
      <w:pPr>
        <w:pStyle w:val="Heading2"/>
      </w:pPr>
      <w:r>
        <w:t xml:space="preserve">3. 결론 및 시사점</w:t>
      </w:r>
    </w:p>
    <w:p>
      <w:pPr>
        <w:numPr>
          <w:ilvl w:val="0"/>
          <w:numId w:val="1005"/>
        </w:numPr>
      </w:pPr>
      <w:r>
        <w:t xml:space="preserve">심평원 시스템의 국제적 인정은 단순한 기술 수출을 넘어, </w:t>
      </w:r>
      <w:r>
        <w:rPr>
          <w:b/>
          <w:bCs/>
        </w:rPr>
        <w:t xml:space="preserve">국제 표준화와 글로벌 보건의료 정책의 실질적 확산</w:t>
      </w:r>
      <w:r>
        <w:t xml:space="preserve">에 기여한다는 점에서 의미가 큽니다</w:t>
      </w:r>
      <w:hyperlink r:id="rId9"/>
      <w:hyperlink r:id="rId10"/>
      <w:r>
        <w:t xml:space="preserve">.</w:t>
      </w:r>
    </w:p>
    <w:p>
      <w:pPr>
        <w:numPr>
          <w:ilvl w:val="0"/>
          <w:numId w:val="1005"/>
        </w:numPr>
      </w:pPr>
      <w:r>
        <w:t xml:space="preserve">이를 분석할 때는 </w:t>
      </w:r>
      <w:r>
        <w:rPr>
          <w:b/>
          <w:bCs/>
        </w:rPr>
        <w:t xml:space="preserve">정책적 파급력, 국제 네트워크 내 위상, 실제 도입 및 운영 성과, 경제·사회적 효과, 국제기구의 평가</w:t>
      </w:r>
      <w:r>
        <w:t xml:space="preserve"> 등 다각적인 지표와 사례를 종합적으로 활용해야 합니다.</w:t>
      </w:r>
    </w:p>
    <w:p>
      <w:pPr>
        <w:numPr>
          <w:ilvl w:val="0"/>
          <w:numId w:val="1005"/>
        </w:numPr>
      </w:pPr>
      <w:r>
        <w:t xml:space="preserve">궁극적으로, 심평원은 </w:t>
      </w:r>
      <w:r>
        <w:rPr>
          <w:b/>
          <w:bCs/>
        </w:rPr>
        <w:t xml:space="preserve">보편적 건강보장(UHC) 실현의 글로벌 리더</w:t>
      </w:r>
      <w:r>
        <w:t xml:space="preserve">로서, 국제사회에서 핵심적인 역할을 수행하고 있음을 알 수 있습니다</w:t>
      </w:r>
      <w:hyperlink r:id="rId10"/>
      <w:hyperlink r:id="rId11"/>
      <w:r>
        <w:t xml:space="preserve">.</w:t>
      </w:r>
    </w:p>
    <w:bookmarkEnd w:id="1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s://repository.hira.or.kr/bitstream/2019.oak/1142/2/%EA%B1%B4%EA%B0%95%EB%B3%B4%ED%97%98%EC%8B%AC%EC%82%AC%ED%8F%89%EA%B0%80%EC%8B%9C%EC%8A%A4%ED%85%9C%20%EB%B0%94%EB%A0%88%EC%9D%B8%20%EC%A7%84%EC%B6%9C%20%EC%84%B1%EA%B3%BC%EC%99%80%20%EA%B3%BC%EC%A0%9C.pdf" TargetMode="External" /><Relationship Type="http://schemas.openxmlformats.org/officeDocument/2006/relationships/hyperlink" Id="rId10" Target="https://repository.hira.or.kr/bitstream/2019.oak/1143/2/%EA%B5%AD%EC%A0%9C%ED%91%9C%EC%A4%80%20%EC%8B%AC%EC%82%AC%ED%8F%89%EA%B0%80%20%EB%A7%A4%EB%89%B4%EC%96%BC%20(Medical%20Audits%20Toolkit)%20%EA%B0%9C%EB%B0%9C%EC%9D%98%20%EC%9D%98%EB%AF%B8%EC%99%80%20%EC%8B%9C%EC%82%AC%EC%A0%90.pdf" TargetMode="External" /><Relationship Type="http://schemas.openxmlformats.org/officeDocument/2006/relationships/hyperlink" Id="rId11" Target="https://www.doctorsnews.co.kr/news/articleView.html?idxno=96318" TargetMode="External" /><Relationship Type="http://schemas.openxmlformats.org/officeDocument/2006/relationships/hyperlink" Id="rId12" Target="https://www.hira.or.kr/ebooksc/ebook_638/ebook_638_202104230508433430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s://repository.hira.or.kr/bitstream/2019.oak/1142/2/%EA%B1%B4%EA%B0%95%EB%B3%B4%ED%97%98%EC%8B%AC%EC%82%AC%ED%8F%89%EA%B0%80%EC%8B%9C%EC%8A%A4%ED%85%9C%20%EB%B0%94%EB%A0%88%EC%9D%B8%20%EC%A7%84%EC%B6%9C%20%EC%84%B1%EA%B3%BC%EC%99%80%20%EA%B3%BC%EC%A0%9C.pdf" TargetMode="External" /><Relationship Type="http://schemas.openxmlformats.org/officeDocument/2006/relationships/hyperlink" Id="rId10" Target="https://repository.hira.or.kr/bitstream/2019.oak/1143/2/%EA%B5%AD%EC%A0%9C%ED%91%9C%EC%A4%80%20%EC%8B%AC%EC%82%AC%ED%8F%89%EA%B0%80%20%EB%A7%A4%EB%89%B4%EC%96%BC%20(Medical%20Audits%20Toolkit)%20%EA%B0%9C%EB%B0%9C%EC%9D%98%20%EC%9D%98%EB%AF%B8%EC%99%80%20%EC%8B%9C%EC%82%AC%EC%A0%90.pdf" TargetMode="External" /><Relationship Type="http://schemas.openxmlformats.org/officeDocument/2006/relationships/hyperlink" Id="rId11" Target="https://www.doctorsnews.co.kr/news/articleView.html?idxno=96318" TargetMode="External" /><Relationship Type="http://schemas.openxmlformats.org/officeDocument/2006/relationships/hyperlink" Id="rId12" Target="https://www.hira.or.kr/ebooksc/ebook_638/ebook_638_202104230508433430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2025-07-11T05:18:00Z</dcterms:created>
  <dcterms:modified xsi:type="dcterms:W3CDTF">2025-07-11T05:18:00Z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