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NHIS(국민건강보험공단) 시스템 개선을 통해 기대되는 </w:t>
      </w:r>
      <w:r>
        <w:rPr>
          <w:b/>
          <w:bCs/>
        </w:rPr>
        <w:t xml:space="preserve">재정 건전성 향상 효과</w:t>
      </w:r>
      <w:r>
        <w:t xml:space="preserve">는 다음과 같습니다.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지출 효율화</w:t>
      </w:r>
      <w:r>
        <w:br/>
      </w:r>
      <w:r>
        <w:t xml:space="preserve">시스템 개선으로 </w:t>
      </w:r>
      <w:r>
        <w:rPr>
          <w:b/>
          <w:bCs/>
        </w:rPr>
        <w:t xml:space="preserve">비효율적 지출을 줄이고, 불필요한 의료 이용 및 자원 낭비를 방지</w:t>
      </w:r>
      <w:r>
        <w:t xml:space="preserve">할 수 있습니다. 예를 들어, 외래진료 과다 이용자에 대한 본인부담률 상향 등 합리적인 의료이용을 유도하는 정책이 시행되고 있습니다. 이를 통해 건강보험 재정의 불필요한 지출을 억제할 수 있습니다</w:t>
      </w:r>
      <w:hyperlink r:id="rId9"/>
      <w:hyperlink r:id="rId10"/>
      <w:r>
        <w:t xml:space="preserve">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부정수급 및 재정 누수 차단</w:t>
      </w:r>
      <w:r>
        <w:br/>
      </w:r>
      <w:r>
        <w:t xml:space="preserve">부적절한 장기 입원, 불법 사무장병원, 건강보험증 도용, 외국인 무자격자 이용 등 </w:t>
      </w:r>
      <w:r>
        <w:rPr>
          <w:b/>
          <w:bCs/>
        </w:rPr>
        <w:t xml:space="preserve">재정 누수 요인에 대한 관리가 강화</w:t>
      </w:r>
      <w:r>
        <w:t xml:space="preserve">됩니다. 시스템 개선을 통해 이러한 부정수급을 조기에 탐지하고 차단함으로써 재정 건전성을 높일 수 있습니다</w:t>
      </w:r>
      <w:hyperlink r:id="rId10"/>
      <w:r>
        <w:t xml:space="preserve">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급여 분석 및 적정 진료 유도</w:t>
      </w:r>
      <w:r>
        <w:br/>
      </w:r>
      <w:r>
        <w:t xml:space="preserve">NHIS와 심평원은 </w:t>
      </w:r>
      <w:r>
        <w:rPr>
          <w:b/>
          <w:bCs/>
        </w:rPr>
        <w:t xml:space="preserve">AI 등 첨단 기술을 활용한 급여 분석 기능을 고도화</w:t>
      </w:r>
      <w:r>
        <w:t xml:space="preserve">하고, 의료기관별 특성에 맞춘 진료비 분석을 통해 </w:t>
      </w:r>
      <w:r>
        <w:rPr>
          <w:b/>
          <w:bCs/>
        </w:rPr>
        <w:t xml:space="preserve">적정 진료를 유도</w:t>
      </w:r>
      <w:r>
        <w:t xml:space="preserve">하고 있습니다. 이는 불필요한 급여 지출을 줄이고, 보험 재정의 효율적 운용에 기여합니다</w:t>
      </w:r>
      <w:hyperlink r:id="rId11"/>
      <w:r>
        <w:t xml:space="preserve">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수익 기반 강화 및 정부 지원 확대</w:t>
      </w:r>
      <w:r>
        <w:br/>
      </w:r>
      <w:r>
        <w:t xml:space="preserve">보험료율을 적정 수준으로 관리하고, 정부 지원금 비율을 점진적으로 확대함으로써 </w:t>
      </w:r>
      <w:r>
        <w:rPr>
          <w:b/>
          <w:bCs/>
        </w:rPr>
        <w:t xml:space="preserve">재정 기반을 강화</w:t>
      </w:r>
      <w:r>
        <w:t xml:space="preserve">할 수 있습니다. 또한, 체납보험료 관리 등 수입 측면의 시스템 강화도 재정 건전성에 긍정적 영향을 미칩니다</w:t>
      </w:r>
      <w:hyperlink r:id="rId10"/>
      <w:hyperlink r:id="rId12"/>
      <w:r>
        <w:t xml:space="preserve">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중장기 재정 안정성 제고</w:t>
      </w:r>
      <w:r>
        <w:br/>
      </w:r>
      <w:r>
        <w:t xml:space="preserve">이러한 개선책이 반영될 경우, </w:t>
      </w:r>
      <w:r>
        <w:rPr>
          <w:b/>
          <w:bCs/>
        </w:rPr>
        <w:t xml:space="preserve">건강보험 준비금의 적자 전환 시점을 지연</w:t>
      </w:r>
      <w:r>
        <w:t xml:space="preserve">시키고, 재정수지 적자 규모도 줄일 수 있는 것으로 분석됩니다. 실제로 지출 효율화가 반영되면, 2028년 기준 당기수지 적자가 약 6조 6천억 원으로, 효율화 미반영 시(10조 7천억 원)보다 크게 개선될 것으로 전망됩니다</w:t>
      </w:r>
      <w:hyperlink r:id="rId10"/>
      <w:r>
        <w:t xml:space="preserve">.</w:t>
      </w:r>
    </w:p>
    <w:p>
      <w:pPr>
        <w:pStyle w:val="FirstParagraph"/>
      </w:pPr>
      <w:r>
        <w:t xml:space="preserve">이처럼 NHIS 시스템 개선은 </w:t>
      </w:r>
      <w:r>
        <w:rPr>
          <w:b/>
          <w:bCs/>
        </w:rPr>
        <w:t xml:space="preserve">지출 효율화, 부정수급 차단, 적정 진료 유도, 수익 기반 강화</w:t>
      </w:r>
      <w:r>
        <w:t xml:space="preserve"> 등을 통해 건강보험 재정의 건전성 향상에 실질적인 효과를 가져올 것으로 기대됩니다.</w:t>
      </w:r>
    </w:p>
    <w:p>
      <w:pPr>
        <w:pStyle w:val="BodyText"/>
      </w:pPr>
      <w:r>
        <w:t xml:space="preserve">[[부정수급 방지를 위한 정책과 기술의 차이점]]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0" Target="https://repository.kihasa.re.kr/bitstream/201002/36664/1/2020.11.No.289.05.pdf" TargetMode="External" /><Relationship Type="http://schemas.openxmlformats.org/officeDocument/2006/relationships/hyperlink" Id="rId9" Target="https://www.kpanews.co.kr/article/show.asp?page=4&amp;idx=256290" TargetMode="External" /><Relationship Type="http://schemas.openxmlformats.org/officeDocument/2006/relationships/hyperlink" Id="rId11" Target="https://www.medipana.com/article/view.php?news_idx=337859" TargetMode="External" /><Relationship Type="http://schemas.openxmlformats.org/officeDocument/2006/relationships/hyperlink" Id="rId12" Target="https://www.nhis.or.kr/static/alim/paper/oldpaper/202209/sub/25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0" Target="https://repository.kihasa.re.kr/bitstream/201002/36664/1/2020.11.No.289.05.pdf" TargetMode="External" /><Relationship Type="http://schemas.openxmlformats.org/officeDocument/2006/relationships/hyperlink" Id="rId9" Target="https://www.kpanews.co.kr/article/show.asp?page=4&amp;idx=256290" TargetMode="External" /><Relationship Type="http://schemas.openxmlformats.org/officeDocument/2006/relationships/hyperlink" Id="rId11" Target="https://www.medipana.com/article/view.php?news_idx=337859" TargetMode="External" /><Relationship Type="http://schemas.openxmlformats.org/officeDocument/2006/relationships/hyperlink" Id="rId12" Target="https://www.nhis.or.kr/static/alim/paper/oldpaper/202209/sub/25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2025-07-11T05:16:54Z</dcterms:created>
  <dcterms:modified xsi:type="dcterms:W3CDTF">2025-07-11T05:16:54Z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