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WHO와 세계은행이 제시하는 </w:t>
      </w:r>
      <w:r>
        <w:rPr>
          <w:b/>
          <w:bCs/>
        </w:rPr>
        <w:t xml:space="preserve">글로벌 건강보장 지표</w:t>
      </w:r>
      <w:r>
        <w:t xml:space="preserve">(UHC: Universal Health Coverage)는 크게 두 가지 축으로 구성됩니다.</w:t>
      </w:r>
    </w:p>
    <w:p>
      <w:pPr>
        <w:numPr>
          <w:ilvl w:val="0"/>
          <w:numId w:val="1001"/>
        </w:numPr>
      </w:pPr>
      <w:r>
        <w:rPr>
          <w:b/>
          <w:bCs/>
        </w:rPr>
        <w:t xml:space="preserve">필수 건강서비스 보장 지표</w:t>
      </w:r>
    </w:p>
    <w:p>
      <w:pPr>
        <w:numPr>
          <w:ilvl w:val="1"/>
          <w:numId w:val="1002"/>
        </w:numPr>
      </w:pPr>
      <w:r>
        <w:t xml:space="preserve">예방, 치료, 재활, 완화 등 국민이 필요한 필수 건강서비스를 얼마나 폭넓게 이용할 수 있는지 평가합니다.</w:t>
      </w:r>
    </w:p>
    <w:p>
      <w:pPr>
        <w:numPr>
          <w:ilvl w:val="1"/>
          <w:numId w:val="1002"/>
        </w:numPr>
      </w:pPr>
      <w:r>
        <w:t xml:space="preserve">예방접종, 산모·신생아 관리, 만성질환 관리, 감염병 치료 등 다양한 항목이 포함됩니다</w:t>
      </w:r>
      <w:hyperlink r:id="rId9"/>
      <w:hyperlink r:id="rId10"/>
      <w:r>
        <w:t xml:space="preserve">.</w:t>
      </w:r>
    </w:p>
    <w:p>
      <w:pPr>
        <w:numPr>
          <w:ilvl w:val="0"/>
          <w:numId w:val="1001"/>
        </w:numPr>
      </w:pPr>
      <w:r>
        <w:rPr>
          <w:b/>
          <w:bCs/>
        </w:rPr>
        <w:t xml:space="preserve">재정적 보호 지표</w:t>
      </w:r>
    </w:p>
    <w:p>
      <w:pPr>
        <w:numPr>
          <w:ilvl w:val="1"/>
          <w:numId w:val="1003"/>
        </w:numPr>
      </w:pPr>
      <w:r>
        <w:t xml:space="preserve">의료비로 인한 가계의 경제적 부담 수준을 측정합니다.</w:t>
      </w:r>
    </w:p>
    <w:p>
      <w:pPr>
        <w:numPr>
          <w:ilvl w:val="1"/>
          <w:numId w:val="1003"/>
        </w:numPr>
      </w:pPr>
      <w:r>
        <w:t xml:space="preserve">대표적으로 ‘가계의 연간 의료비 지출이 소득의 10% 또는 25%를 초과하는 인구 비율’을 사용합니다</w:t>
      </w:r>
      <w:hyperlink r:id="rId9"/>
      <w:hyperlink r:id="rId11"/>
      <w:r>
        <w:t xml:space="preserve">.</w:t>
      </w:r>
    </w:p>
    <w:bookmarkStart w:id="12" w:name="한국의-성과와-글로벌-평균-비교"/>
    <w:p>
      <w:pPr>
        <w:pStyle w:val="Heading2"/>
      </w:pPr>
      <w:r>
        <w:t xml:space="preserve">한국의 성과와 글로벌 평균 비교</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항목</w:t>
            </w:r>
          </w:p>
        </w:tc>
        <w:tc>
          <w:tcPr/>
          <w:p>
            <w:pPr>
              <w:pStyle w:val="Compact"/>
            </w:pPr>
            <w:r>
              <w:t xml:space="preserve">WHO/세계은행 글로벌 평균</w:t>
            </w:r>
          </w:p>
        </w:tc>
        <w:tc>
          <w:tcPr/>
          <w:p>
            <w:pPr>
              <w:pStyle w:val="Compact"/>
            </w:pPr>
            <w:r>
              <w:t xml:space="preserve">한국의 성과</w:t>
            </w:r>
          </w:p>
        </w:tc>
        <w:tc>
          <w:tcPr/>
          <w:p>
            <w:pPr>
              <w:pStyle w:val="Compact"/>
            </w:pPr>
            <w:r>
              <w:t xml:space="preserve">평가 및 시사점</w:t>
            </w:r>
          </w:p>
        </w:tc>
      </w:tr>
      <w:tr>
        <w:tc>
          <w:tcPr/>
          <w:p>
            <w:pPr>
              <w:pStyle w:val="Compact"/>
            </w:pPr>
            <w:r>
              <w:t xml:space="preserve">필수 건강서비스 보장</w:t>
            </w:r>
          </w:p>
        </w:tc>
        <w:tc>
          <w:tcPr/>
          <w:p>
            <w:pPr>
              <w:pStyle w:val="Compact"/>
            </w:pPr>
            <w:r>
              <w:t xml:space="preserve">66점(전 세계 평균)</w:t>
            </w:r>
          </w:p>
        </w:tc>
        <w:tc>
          <w:tcPr/>
          <w:p>
            <w:pPr>
              <w:pStyle w:val="Compact"/>
            </w:pPr>
            <w:r>
              <w:rPr>
                <w:b/>
                <w:bCs/>
              </w:rPr>
              <w:t xml:space="preserve">85.7점</w:t>
            </w:r>
          </w:p>
        </w:tc>
        <w:tc>
          <w:tcPr/>
          <w:p>
            <w:pPr>
              <w:pStyle w:val="Compact"/>
            </w:pPr>
            <w:r>
              <w:t xml:space="preserve">매우 높은 수준. 동아시아(77점), 유럽(77점)보다 높음</w:t>
            </w:r>
            <w:hyperlink r:id="rId9"/>
            <w:r>
              <w:t xml:space="preserve">.</w:t>
            </w:r>
          </w:p>
        </w:tc>
      </w:tr>
      <w:tr>
        <w:tc>
          <w:tcPr/>
          <w:p>
            <w:pPr>
              <w:pStyle w:val="Compact"/>
            </w:pPr>
            <w:r>
              <w:t xml:space="preserve">재정적 보호(OOP 10%)</w:t>
            </w:r>
          </w:p>
        </w:tc>
        <w:tc>
          <w:tcPr/>
          <w:p>
            <w:pPr>
              <w:pStyle w:val="Compact"/>
            </w:pPr>
            <w:r>
              <w:t xml:space="preserve">국가별로 상이</w:t>
            </w:r>
          </w:p>
        </w:tc>
        <w:tc>
          <w:tcPr/>
          <w:p>
            <w:pPr>
              <w:pStyle w:val="Compact"/>
            </w:pPr>
            <w:r>
              <w:rPr>
                <w:b/>
                <w:bCs/>
              </w:rPr>
              <w:t xml:space="preserve">상대적으로 미흡</w:t>
            </w:r>
          </w:p>
        </w:tc>
        <w:tc>
          <w:tcPr/>
          <w:p>
            <w:pPr>
              <w:pStyle w:val="Compact"/>
            </w:pPr>
            <w:r>
              <w:t xml:space="preserve">가계 의료비 부담(소득 10% 초과 비율)이 주요국 중 가장 높음</w:t>
            </w:r>
            <w:hyperlink r:id="rId9"/>
            <w:hyperlink r:id="rId11"/>
            <w:r>
              <w:t xml:space="preserve">.</w:t>
            </w:r>
          </w:p>
        </w:tc>
      </w:tr>
      <w:tr>
        <w:tc>
          <w:tcPr/>
          <w:p>
            <w:pPr>
              <w:pStyle w:val="Compact"/>
            </w:pPr>
            <w:r>
              <w:t xml:space="preserve">재정적 보호(OOP 25%)</w:t>
            </w:r>
          </w:p>
        </w:tc>
        <w:tc>
          <w:tcPr/>
          <w:p>
            <w:pPr>
              <w:pStyle w:val="Compact"/>
            </w:pPr>
            <w:r>
              <w:t xml:space="preserve">국가별로 상이</w:t>
            </w:r>
          </w:p>
        </w:tc>
        <w:tc>
          <w:tcPr/>
          <w:p>
            <w:pPr>
              <w:pStyle w:val="Compact"/>
            </w:pPr>
            <w:r>
              <w:t xml:space="preserve">스위스, 포르투갈과 유사한 낮은 수준</w:t>
            </w:r>
          </w:p>
        </w:tc>
        <w:tc>
          <w:tcPr/>
          <w:p>
            <w:pPr>
              <w:pStyle w:val="Compact"/>
            </w:pPr>
            <w:r>
              <w:t xml:space="preserve">소득 25% 초과 비율은 일부 유럽 국가와 유사하나 여전히 개선 필요</w:t>
            </w:r>
            <w:hyperlink r:id="rId9"/>
            <w:r>
              <w:t xml:space="preserve">.</w:t>
            </w:r>
          </w:p>
        </w:tc>
      </w:tr>
    </w:tbl>
    <w:bookmarkEnd w:id="12"/>
    <w:bookmarkStart w:id="15" w:name="분석-및-해석"/>
    <w:p>
      <w:pPr>
        <w:pStyle w:val="Heading2"/>
      </w:pPr>
      <w:r>
        <w:t xml:space="preserve">분석 및 해석</w:t>
      </w:r>
    </w:p>
    <w:p>
      <w:pPr>
        <w:numPr>
          <w:ilvl w:val="0"/>
          <w:numId w:val="1004"/>
        </w:numPr>
      </w:pPr>
      <w:r>
        <w:rPr>
          <w:b/>
          <w:bCs/>
        </w:rPr>
        <w:t xml:space="preserve">필수 건강서비스 보장</w:t>
      </w:r>
      <w:r>
        <w:t xml:space="preserve">:</w:t>
      </w:r>
      <w:r>
        <w:br/>
      </w:r>
      <w:r>
        <w:t xml:space="preserve">한국은 예방, 진료, 만성질환 관리 등 필수 건강서비스 접근성에서 </w:t>
      </w:r>
      <w:r>
        <w:rPr>
          <w:b/>
          <w:bCs/>
        </w:rPr>
        <w:t xml:space="preserve">세계 최고 수준</w:t>
      </w:r>
      <w:r>
        <w:t xml:space="preserve">으로 평가받고 있습니다. 이는 보편적 건강보험 도입과 전국민 가입, 의료 접근성 향상 정책의 효과로 해석됩니다</w:t>
      </w:r>
      <w:hyperlink r:id="rId9"/>
      <w:hyperlink r:id="rId13"/>
      <w:r>
        <w:t xml:space="preserve">.</w:t>
      </w:r>
    </w:p>
    <w:p>
      <w:pPr>
        <w:numPr>
          <w:ilvl w:val="0"/>
          <w:numId w:val="1004"/>
        </w:numPr>
      </w:pPr>
      <w:r>
        <w:rPr>
          <w:b/>
          <w:bCs/>
        </w:rPr>
        <w:t xml:space="preserve">재정적 보호</w:t>
      </w:r>
      <w:r>
        <w:t xml:space="preserve">:</w:t>
      </w:r>
      <w:r>
        <w:br/>
      </w:r>
      <w:r>
        <w:t xml:space="preserve">반면, </w:t>
      </w:r>
      <w:r>
        <w:rPr>
          <w:b/>
          <w:bCs/>
        </w:rPr>
        <w:t xml:space="preserve">의료비로 인한 가계 부담</w:t>
      </w:r>
      <w:r>
        <w:t xml:space="preserve">(OOP: Out-of-pocket payment) 지표에서는 상대적으로 낮은 평가를 받습니다. 한국은 의료비가 소득의 10%를 초과하는 가구 비율이 OECD 주요국 중 가장 높게 나타났습니다. 이는 건강보험 보장률이 높음에도 불구하고 비급여 진료비, 본인부담금 등으로 인한 실질적 가계 부담이 크기 때문입니다</w:t>
      </w:r>
      <w:hyperlink r:id="rId9"/>
      <w:r>
        <w:t xml:space="preserve">.</w:t>
      </w:r>
    </w:p>
    <w:p>
      <w:pPr>
        <w:numPr>
          <w:ilvl w:val="0"/>
          <w:numId w:val="1004"/>
        </w:numPr>
      </w:pPr>
      <w:r>
        <w:rPr>
          <w:b/>
          <w:bCs/>
        </w:rPr>
        <w:t xml:space="preserve">국제 비교의 한계</w:t>
      </w:r>
      <w:r>
        <w:t xml:space="preserve">:</w:t>
      </w:r>
      <w:r>
        <w:br/>
      </w:r>
      <w:r>
        <w:t xml:space="preserve">WHO/세계은행 지표는 각국의 보건의료체계, 통계자료, 비급여 항목의 범위 등이 달라 직접적인 단순 비교에는 한계가 있습니다. 국제 지표의 취지를 살리되, 한국 실정에 맞는 보장성 강화 정책과 평가 지표 개발이 필요하다는 지적도 있습니다</w:t>
      </w:r>
      <w:hyperlink r:id="rId9"/>
      <w:r>
        <w:t xml:space="preserve">.</w:t>
      </w:r>
    </w:p>
    <w:p>
      <w:pPr>
        <w:pStyle w:val="FirstParagraph"/>
      </w:pPr>
      <w:r>
        <w:rPr>
          <w:b/>
          <w:bCs/>
        </w:rPr>
        <w:t xml:space="preserve">요약</w:t>
      </w:r>
      <w:r>
        <w:br/>
      </w:r>
      <w:r>
        <w:t xml:space="preserve">한국은 WHO와 세계은행이 제시하는 글로벌 건강보장 지표 중 </w:t>
      </w:r>
      <w:r>
        <w:rPr>
          <w:b/>
          <w:bCs/>
        </w:rPr>
        <w:t xml:space="preserve">필수 건강서비스 보장</w:t>
      </w:r>
      <w:r>
        <w:t xml:space="preserve">에서는 세계적으로 매우 높은 평가를 받고 있으나, </w:t>
      </w:r>
      <w:r>
        <w:rPr>
          <w:b/>
          <w:bCs/>
        </w:rPr>
        <w:t xml:space="preserve">의료비로 인한 재정적 보호</w:t>
      </w:r>
      <w:r>
        <w:t xml:space="preserve">에서는 상대적으로 미흡하다는 평가를 받고 있습니다. 이는 건강보험의 보장성 강화와 비급여 진료비 관리 등 추가적 정책 개선의 필요성을 시사합니다</w:t>
      </w:r>
      <w:hyperlink r:id="rId9"/>
      <w:hyperlink r:id="rId14"/>
      <w:hyperlink r:id="rId13"/>
      <w:r>
        <w:t xml:space="preserve">.</w:t>
      </w:r>
    </w:p>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http://www.kjhsm.kr/article.asp?code=62264" TargetMode="External" /><Relationship Type="http://schemas.openxmlformats.org/officeDocument/2006/relationships/hyperlink" Id="rId13" Target="https://m.dailypharm.com/newsView.html?ID=237530" TargetMode="External" /><Relationship Type="http://schemas.openxmlformats.org/officeDocument/2006/relationships/hyperlink" Id="rId14" Target="https://repository.hira.or.kr/bitstream/2019.oak/1078/2/%EB%B3%B4%ED%8E%B8%EC%A0%81%20%EA%B1%B4%EA%B0%95%EB%B3%B4%EC%9E%A5%20%EB%8B%AC%EC%84%B1%EC%9D%84%20%EC%9C%84%ED%95%9C%20%EA%B5%AD%EC%A0%9C%EA%B0%9C%EB%B0%9C%ED%98%91%EB%A0%A5.pdf" TargetMode="External" /><Relationship Type="http://schemas.openxmlformats.org/officeDocument/2006/relationships/hyperlink" Id="rId9" Target="https://repository.kihasa.re.kr/bitstream/201002/36663/6/2020.11.No.289.06.pdf" TargetMode="External" /><Relationship Type="http://schemas.openxmlformats.org/officeDocument/2006/relationships/hyperlink" Id="rId10" Target="https://repository.kihasa.re.kr/handle/201002/36663" TargetMode="External" /></Relationships>
</file>

<file path=word/_rels/footnotes.xml.rels><?xml version="1.0" encoding="UTF-8"?><Relationships xmlns="http://schemas.openxmlformats.org/package/2006/relationships"><Relationship Type="http://schemas.openxmlformats.org/officeDocument/2006/relationships/hyperlink" Id="rId11" Target="http://www.kjhsm.kr/article.asp?code=62264" TargetMode="External" /><Relationship Type="http://schemas.openxmlformats.org/officeDocument/2006/relationships/hyperlink" Id="rId13" Target="https://m.dailypharm.com/newsView.html?ID=237530" TargetMode="External" /><Relationship Type="http://schemas.openxmlformats.org/officeDocument/2006/relationships/hyperlink" Id="rId14" Target="https://repository.hira.or.kr/bitstream/2019.oak/1078/2/%EB%B3%B4%ED%8E%B8%EC%A0%81%20%EA%B1%B4%EA%B0%95%EB%B3%B4%EC%9E%A5%20%EB%8B%AC%EC%84%B1%EC%9D%84%20%EC%9C%84%ED%95%9C%20%EA%B5%AD%EC%A0%9C%EA%B0%9C%EB%B0%9C%ED%98%91%EB%A0%A5.pdf" TargetMode="External" /><Relationship Type="http://schemas.openxmlformats.org/officeDocument/2006/relationships/hyperlink" Id="rId9" Target="https://repository.kihasa.re.kr/bitstream/201002/36663/6/2020.11.No.289.06.pdf" TargetMode="External" /><Relationship Type="http://schemas.openxmlformats.org/officeDocument/2006/relationships/hyperlink" Id="rId10" Target="https://repository.kihasa.re.kr/handle/201002/36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2025-07-11T05:17:05Z</dcterms:created>
  <dcterms:modified xsi:type="dcterms:W3CDTF">2025-07-11T05:17:05Z</dcterms:modified>
</cp:coreProperties>
</file>

<file path=docProps/custom.xml><?xml version="1.0" encoding="utf-8"?>
<Properties xmlns="http://schemas.openxmlformats.org/officeDocument/2006/custom-properties" xmlns:vt="http://schemas.openxmlformats.org/officeDocument/2006/docPropsVTypes"/>
</file>