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44D561F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into  </w:t>
      </w:r>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42124C" w:rsidRPr="0042124C">
        <w:rPr>
          <w:rFonts w:ascii="Century Gothic" w:eastAsia="Century Gothic" w:hAnsi="Century Gothic" w:cs="Century Gothic"/>
          <w:sz w:val="21"/>
          <w:szCs w:val="21"/>
        </w:rPr>
        <w:t>THE BOLAJOKO, 15A, REMI OLOWUDE STREET, LEKKI, LAGOS STATE</w:t>
      </w:r>
      <w:r w:rsidR="0042124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{amountInWord}</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p.a</w:t>
      </w:r>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carValue</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carValueInWords</w:t>
      </w:r>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equityInWords</w:t>
      </w:r>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451ECD9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The Parties agree that the Borrower shall pay Lender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repaymentInWords</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5532DB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16.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17.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4D3F8168" w:rsidR="007614EF" w:rsidRPr="001B6CCF" w:rsidRDefault="00E55552"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lastRenderedPageBreak/>
        <w:t xml:space="preserve">18.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087E0359" w:rsidR="007614EF" w:rsidRDefault="00E55552"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20.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Kayode Alao</w:t>
      </w:r>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Kayode Alao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6907DCE" w14:textId="10372234" w:rsidR="00E2623C" w:rsidRDefault="00E2623C">
      <w:pPr>
        <w:rPr>
          <w:rFonts w:ascii="Century Gothic" w:eastAsia="Century Gothic" w:hAnsi="Century Gothic" w:cs="Century Gothic"/>
          <w:b/>
          <w:sz w:val="21"/>
          <w:szCs w:val="21"/>
        </w:rPr>
      </w:pPr>
      <w:r>
        <w:rPr>
          <w:rFonts w:ascii="Century Gothic" w:eastAsia="Century Gothic" w:hAnsi="Century Gothic" w:cs="Century Gothic"/>
          <w:b/>
          <w:sz w:val="21"/>
          <w:szCs w:val="21"/>
        </w:rPr>
        <w:br w:type="page"/>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lastRenderedPageBreak/>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{roadWorthiness}</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{amc}</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EFB98" w14:textId="77777777" w:rsidR="00E83565" w:rsidRDefault="00E83565">
      <w:pPr>
        <w:spacing w:line="240" w:lineRule="auto"/>
      </w:pPr>
      <w:r>
        <w:separator/>
      </w:r>
    </w:p>
  </w:endnote>
  <w:endnote w:type="continuationSeparator" w:id="0">
    <w:p w14:paraId="68E243E4" w14:textId="77777777" w:rsidR="00E83565" w:rsidRDefault="00E83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EB682" w14:textId="77777777" w:rsidR="00E83565" w:rsidRDefault="00E83565">
      <w:pPr>
        <w:spacing w:line="240" w:lineRule="auto"/>
      </w:pPr>
      <w:r>
        <w:separator/>
      </w:r>
    </w:p>
  </w:footnote>
  <w:footnote w:type="continuationSeparator" w:id="0">
    <w:p w14:paraId="0DE97DF1" w14:textId="77777777" w:rsidR="00E83565" w:rsidRDefault="00E835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1, Sylvia Cresent, </w:t>
    </w:r>
    <w:r>
      <w:rPr>
        <w:rFonts w:ascii="Nunito" w:eastAsia="Nunito" w:hAnsi="Nunito" w:cs="Nunito"/>
        <w:color w:val="30345E"/>
        <w:sz w:val="24"/>
        <w:szCs w:val="24"/>
      </w:rPr>
      <w:br/>
      <w:t>Anthony,</w:t>
    </w:r>
  </w:p>
  <w:p w14:paraId="4EFB21E8"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Ikeja, </w:t>
    </w:r>
  </w:p>
  <w:p w14:paraId="1350A8D6"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080088"/>
    <w:rsid w:val="001B6CCF"/>
    <w:rsid w:val="00251F26"/>
    <w:rsid w:val="00343E68"/>
    <w:rsid w:val="003D0A6C"/>
    <w:rsid w:val="0042124C"/>
    <w:rsid w:val="00460469"/>
    <w:rsid w:val="005339BD"/>
    <w:rsid w:val="0055555E"/>
    <w:rsid w:val="006D2EA5"/>
    <w:rsid w:val="0071536B"/>
    <w:rsid w:val="007614EF"/>
    <w:rsid w:val="00994380"/>
    <w:rsid w:val="00AA6E2C"/>
    <w:rsid w:val="00B40186"/>
    <w:rsid w:val="00BB768F"/>
    <w:rsid w:val="00C26FA2"/>
    <w:rsid w:val="00C31742"/>
    <w:rsid w:val="00D53E60"/>
    <w:rsid w:val="00E2623C"/>
    <w:rsid w:val="00E55552"/>
    <w:rsid w:val="00E83565"/>
    <w:rsid w:val="00E965A5"/>
    <w:rsid w:val="00EA2DDD"/>
    <w:rsid w:val="00F335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Automart29</cp:lastModifiedBy>
  <cp:revision>10</cp:revision>
  <dcterms:created xsi:type="dcterms:W3CDTF">2022-01-08T18:33:00Z</dcterms:created>
  <dcterms:modified xsi:type="dcterms:W3CDTF">2022-02-11T13:34:00Z</dcterms:modified>
</cp:coreProperties>
</file>