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mcAMNsmT6uE</w:t>
      </w:r>
    </w:p>
    <w:p>
      <w:pPr>
        <w:pStyle w:val="Heading1"/>
      </w:pPr>
      <w:r>
        <w:t>Section 0: Speaker and Electronic Repair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The section describes various visual and verbal cues related to a speaker and electronic repair, including a graphic with text, a promotional or informational context, and interactive elements common to social media platforms.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Music</w:t>
        <w:br/>
        <w:t>[0:17] I'm overheating</w:t>
        <w:br/>
        <w:t>[0:22] Can't hardly sleep at night</w:t>
        <w:br/>
        <w:t>[0:25] Doing crazy dreaming</w:t>
        <w:br/>
        <w:t>[0:30] You're the reason why</w:t>
        <w:br/>
        <w:t>[0:34] Hiding by the baby</w:t>
        <w:br/>
        <w:t>[0:39] Losing my mind</w:t>
        <w:br/>
        <w:t>[0:42] Don't try to save me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