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re-dSV_a0tM</w:t>
      </w:r>
    </w:p>
    <w:p>
      <w:pPr>
        <w:pStyle w:val="Heading1"/>
      </w:pPr>
      <w:r>
        <w:t>Section 0: Digital Advertisements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conversation discusses various digital advertisements, including a YouTube channel promotion with a simple yet effective design.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Marvin, turn on the lights.</w:t>
        <w:br/>
        <w:t>[0:06] Okay.</w:t>
        <w:br/>
        <w:t>[0:08] Marvin, turn off the bedroom.</w:t>
        <w:br/>
        <w:t>[0:13] Okay.</w:t>
        <w:br/>
        <w:t>[0:15] Marvin, turn off the kitchen.</w:t>
        <w:br/>
        <w:t>[0:21] Okay.</w:t>
        <w:br/>
        <w:t>[0:22] Marvin, tell me a joke.</w:t>
        <w:br/>
        <w:t>[0:25] What goes up and down but does not move?</w:t>
        <w:br/>
        <w:t>[0:32] Stairs.</w:t>
        <w:br/>
        <w:t>[0:34] Marvin, turn off the lights.</w:t>
        <w:br/>
        <w:t>[0:40] Okay.</w:t>
        <w:br/>
        <w:t>[0:42] Hey everyone.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