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Andipatti Animal Feed System</w:t>
      </w:r>
    </w:p>
    <w:p>
      <w:pPr>
        <w:jc w:val="center"/>
      </w:pPr>
      <w:r>
        <w:rPr>
          <w:b/>
          <w:sz w:val="32"/>
        </w:rPr>
        <w:t>Document 07 — Complete Accounting &amp; Khata Engine Specification</w:t>
        <w:br/>
        <w:t>v1.0 — Implementation Baseline</w:t>
      </w:r>
    </w:p>
    <w:p>
      <w:r>
        <w:t>Aligned with PRD v1.2 and Documents 01–06. This is the financial-control baseline for customer Khata, supplier payables, sales, receipts, contra/buy-back, payments, refunds, cash/EOD, journal entries, reconciliation and audit.</w:t>
      </w:r>
    </w:p>
    <w:p>
      <w:pPr>
        <w:pStyle w:val="Heading1"/>
      </w:pPr>
      <w:r>
        <w:t>1. Purpose</w:t>
      </w:r>
    </w:p>
    <w:p>
      <w:pPr>
        <w:pStyle w:val="ListBullet"/>
      </w:pPr>
      <w:r>
        <w:t>Provide a deterministic financial ledger for every monetary event.</w:t>
      </w:r>
    </w:p>
    <w:p>
      <w:pPr>
        <w:pStyle w:val="ListBullet"/>
      </w:pPr>
      <w:r>
        <w:t>Support customer credit/Khata and supplier payable balances.</w:t>
      </w:r>
    </w:p>
    <w:p>
      <w:pPr>
        <w:pStyle w:val="ListBullet"/>
      </w:pPr>
      <w:r>
        <w:t>Implement double-entry accounting where accounting integration is enabled.</w:t>
      </w:r>
    </w:p>
    <w:p>
      <w:pPr>
        <w:pStyle w:val="ListBullet"/>
      </w:pPr>
      <w:r>
        <w:t>Ensure invoices, payments, returns, contra and EOD are atomic and auditable.</w:t>
      </w:r>
    </w:p>
    <w:p>
      <w:pPr>
        <w:pStyle w:val="ListBullet"/>
      </w:pPr>
      <w:r>
        <w:t>Prevent duplicate financial effects through idempotency.</w:t>
      </w:r>
    </w:p>
    <w:p>
      <w:pPr>
        <w:pStyle w:val="ListBullet"/>
      </w:pPr>
      <w:r>
        <w:t>Separate operational documents from immutable financial postings.</w:t>
      </w:r>
    </w:p>
    <w:p>
      <w:pPr>
        <w:pStyle w:val="ListBullet"/>
      </w:pPr>
      <w:r>
        <w:t>Support offline transaction envelopes without compromising server authority.</w:t>
      </w:r>
    </w:p>
    <w:p>
      <w:pPr>
        <w:pStyle w:val="Heading1"/>
      </w:pPr>
      <w:r>
        <w:t>2. Financial Principles</w:t>
      </w:r>
    </w:p>
    <w:p>
      <w:pPr>
        <w:pStyle w:val="ListBullet"/>
      </w:pPr>
      <w:r>
        <w:t>Postgres is the authoritative financial source.</w:t>
      </w:r>
    </w:p>
    <w:p>
      <w:pPr>
        <w:pStyle w:val="ListBullet"/>
      </w:pPr>
      <w:r>
        <w:t>Money uses NUMERIC(12,2) minimum and decimal-safe Go/Flutter types.</w:t>
      </w:r>
    </w:p>
    <w:p>
      <w:pPr>
        <w:pStyle w:val="ListBullet"/>
      </w:pPr>
      <w:r>
        <w:t>Posted journals and ledger entries are immutable.</w:t>
      </w:r>
    </w:p>
    <w:p>
      <w:pPr>
        <w:pStyle w:val="ListBullet"/>
      </w:pPr>
      <w:r>
        <w:t>Corrections use reversals, returns, refunds or adjustment documents.</w:t>
      </w:r>
    </w:p>
    <w:p>
      <w:pPr>
        <w:pStyle w:val="ListBullet"/>
      </w:pPr>
      <w:r>
        <w:t>Every posting references a source event/document.</w:t>
      </w:r>
    </w:p>
    <w:p>
      <w:pPr>
        <w:pStyle w:val="ListBullet"/>
      </w:pPr>
      <w:r>
        <w:t>Tenant isolation uses PostgreSQL RLS plus application authorization.</w:t>
      </w:r>
    </w:p>
    <w:p>
      <w:pPr>
        <w:pStyle w:val="ListBullet"/>
      </w:pPr>
      <w:r>
        <w:t>Financial-year and document series are explicit.</w:t>
      </w:r>
    </w:p>
    <w:p>
      <w:pPr>
        <w:pStyle w:val="ListBullet"/>
      </w:pPr>
      <w:r>
        <w:t>Client assertions never establish payment success by themselves.</w:t>
      </w:r>
    </w:p>
    <w:p>
      <w:pPr>
        <w:pStyle w:val="Heading1"/>
      </w:pPr>
      <w:r>
        <w:t>3. Accounting Model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Component</w:t>
            </w:r>
          </w:p>
        </w:tc>
        <w:tc>
          <w:tcPr>
            <w:tcW w:type="dxa" w:w="5040"/>
          </w:tcPr>
          <w:p>
            <w:r>
              <w:t>Purpose</w:t>
            </w:r>
          </w:p>
        </w:tc>
      </w:tr>
      <w:tr>
        <w:tc>
          <w:tcPr>
            <w:tcW w:type="dxa" w:w="5040"/>
          </w:tcPr>
          <w:p>
            <w:r>
              <w:t>Chart of accounts</w:t>
            </w:r>
          </w:p>
        </w:tc>
        <w:tc>
          <w:tcPr>
            <w:tcW w:type="dxa" w:w="5040"/>
          </w:tcPr>
          <w:p>
            <w:r>
              <w:t>Defines financial accounts</w:t>
            </w:r>
          </w:p>
        </w:tc>
      </w:tr>
      <w:tr>
        <w:tc>
          <w:tcPr>
            <w:tcW w:type="dxa" w:w="5040"/>
          </w:tcPr>
          <w:p>
            <w:r>
              <w:t>Journal entry</w:t>
            </w:r>
          </w:p>
        </w:tc>
        <w:tc>
          <w:tcPr>
            <w:tcW w:type="dxa" w:w="5040"/>
          </w:tcPr>
          <w:p>
            <w:r>
              <w:t>Accounting transaction header</w:t>
            </w:r>
          </w:p>
        </w:tc>
      </w:tr>
      <w:tr>
        <w:tc>
          <w:tcPr>
            <w:tcW w:type="dxa" w:w="5040"/>
          </w:tcPr>
          <w:p>
            <w:r>
              <w:t>Journal line</w:t>
            </w:r>
          </w:p>
        </w:tc>
        <w:tc>
          <w:tcPr>
            <w:tcW w:type="dxa" w:w="5040"/>
          </w:tcPr>
          <w:p>
            <w:r>
              <w:t>Debit/credit line</w:t>
            </w:r>
          </w:p>
        </w:tc>
      </w:tr>
      <w:tr>
        <w:tc>
          <w:tcPr>
            <w:tcW w:type="dxa" w:w="5040"/>
          </w:tcPr>
          <w:p>
            <w:r>
              <w:t>Customer ledger</w:t>
            </w:r>
          </w:p>
        </w:tc>
        <w:tc>
          <w:tcPr>
            <w:tcW w:type="dxa" w:w="5040"/>
          </w:tcPr>
          <w:p>
            <w:r>
              <w:t>Customer-level subledger</w:t>
            </w:r>
          </w:p>
        </w:tc>
      </w:tr>
      <w:tr>
        <w:tc>
          <w:tcPr>
            <w:tcW w:type="dxa" w:w="5040"/>
          </w:tcPr>
          <w:p>
            <w:r>
              <w:t>Supplier ledger</w:t>
            </w:r>
          </w:p>
        </w:tc>
        <w:tc>
          <w:tcPr>
            <w:tcW w:type="dxa" w:w="5040"/>
          </w:tcPr>
          <w:p>
            <w:r>
              <w:t>Supplier-level subledger</w:t>
            </w:r>
          </w:p>
        </w:tc>
      </w:tr>
      <w:tr>
        <w:tc>
          <w:tcPr>
            <w:tcW w:type="dxa" w:w="5040"/>
          </w:tcPr>
          <w:p>
            <w:r>
              <w:t>Payment</w:t>
            </w:r>
          </w:p>
        </w:tc>
        <w:tc>
          <w:tcPr>
            <w:tcW w:type="dxa" w:w="5040"/>
          </w:tcPr>
          <w:p>
            <w:r>
              <w:t>Settlement event</w:t>
            </w:r>
          </w:p>
        </w:tc>
      </w:tr>
      <w:tr>
        <w:tc>
          <w:tcPr>
            <w:tcW w:type="dxa" w:w="5040"/>
          </w:tcPr>
          <w:p>
            <w:r>
              <w:t>Payment allocation</w:t>
            </w:r>
          </w:p>
        </w:tc>
        <w:tc>
          <w:tcPr>
            <w:tcW w:type="dxa" w:w="5040"/>
          </w:tcPr>
          <w:p>
            <w:r>
              <w:t>Links payment to invoice/ledger item</w:t>
            </w:r>
          </w:p>
        </w:tc>
      </w:tr>
      <w:tr>
        <w:tc>
          <w:tcPr>
            <w:tcW w:type="dxa" w:w="5040"/>
          </w:tcPr>
          <w:p>
            <w:r>
              <w:t>Receivable</w:t>
            </w:r>
          </w:p>
        </w:tc>
        <w:tc>
          <w:tcPr>
            <w:tcW w:type="dxa" w:w="5040"/>
          </w:tcPr>
          <w:p>
            <w:r>
              <w:t>Customer amount owed</w:t>
            </w:r>
          </w:p>
        </w:tc>
      </w:tr>
      <w:tr>
        <w:tc>
          <w:tcPr>
            <w:tcW w:type="dxa" w:w="5040"/>
          </w:tcPr>
          <w:p>
            <w:r>
              <w:t>Payable</w:t>
            </w:r>
          </w:p>
        </w:tc>
        <w:tc>
          <w:tcPr>
            <w:tcW w:type="dxa" w:w="5040"/>
          </w:tcPr>
          <w:p>
            <w:r>
              <w:t>Supplier amount owed</w:t>
            </w:r>
          </w:p>
        </w:tc>
      </w:tr>
      <w:tr>
        <w:tc>
          <w:tcPr>
            <w:tcW w:type="dxa" w:w="5040"/>
          </w:tcPr>
          <w:p>
            <w:r>
              <w:t>Cash session</w:t>
            </w:r>
          </w:p>
        </w:tc>
        <w:tc>
          <w:tcPr>
            <w:tcW w:type="dxa" w:w="5040"/>
          </w:tcPr>
          <w:p>
            <w:r>
              <w:t>Physical cash control</w:t>
            </w:r>
          </w:p>
        </w:tc>
      </w:tr>
      <w:tr>
        <w:tc>
          <w:tcPr>
            <w:tcW w:type="dxa" w:w="5040"/>
          </w:tcPr>
          <w:p>
            <w:r>
              <w:t>EOD session</w:t>
            </w:r>
          </w:p>
        </w:tc>
        <w:tc>
          <w:tcPr>
            <w:tcW w:type="dxa" w:w="5040"/>
          </w:tcPr>
          <w:p>
            <w:r>
              <w:t>End-of-day reconciliation</w:t>
            </w:r>
          </w:p>
        </w:tc>
      </w:tr>
      <w:tr>
        <w:tc>
          <w:tcPr>
            <w:tcW w:type="dxa" w:w="5040"/>
          </w:tcPr>
          <w:p>
            <w:r>
              <w:t>Contra</w:t>
            </w:r>
          </w:p>
        </w:tc>
        <w:tc>
          <w:tcPr>
            <w:tcW w:type="dxa" w:w="5040"/>
          </w:tcPr>
          <w:p>
            <w:r>
              <w:t>Inventory receipt + customer credit</w:t>
            </w:r>
          </w:p>
        </w:tc>
      </w:tr>
      <w:tr>
        <w:tc>
          <w:tcPr>
            <w:tcW w:type="dxa" w:w="5040"/>
          </w:tcPr>
          <w:p>
            <w:r>
              <w:t>Refund</w:t>
            </w:r>
          </w:p>
        </w:tc>
        <w:tc>
          <w:tcPr>
            <w:tcW w:type="dxa" w:w="5040"/>
          </w:tcPr>
          <w:p>
            <w:r>
              <w:t>Money returned/credited</w:t>
            </w:r>
          </w:p>
        </w:tc>
      </w:tr>
    </w:tbl>
    <w:p>
      <w:pPr>
        <w:pStyle w:val="Heading1"/>
      </w:pPr>
      <w:r>
        <w:t>4. Double-Entry Rules</w:t>
      </w:r>
    </w:p>
    <w:p>
      <w:r>
        <w:t>For every posted journal entry: total debits must equal total credits. A journal may contain multiple lines but must balance exactly to the smallest supported currency unit.</w:t>
      </w:r>
    </w:p>
    <w:p>
      <w:pPr>
        <w:pStyle w:val="ListBullet"/>
      </w:pPr>
      <w:r>
        <w:t>Debits and credits are represented as nonnegative amounts plus side/type.</w:t>
      </w:r>
    </w:p>
    <w:p>
      <w:pPr>
        <w:pStyle w:val="ListBullet"/>
      </w:pPr>
      <w:r>
        <w:t>Do not store ambiguous signed values without a documented convention.</w:t>
      </w:r>
    </w:p>
    <w:p>
      <w:pPr>
        <w:pStyle w:val="ListBullet"/>
      </w:pPr>
      <w:r>
        <w:t>Journal entry cannot be posted with zero lines.</w:t>
      </w:r>
    </w:p>
    <w:p>
      <w:pPr>
        <w:pStyle w:val="ListBullet"/>
      </w:pPr>
      <w:r>
        <w:t>Posted journal cannot be edited.</w:t>
      </w:r>
    </w:p>
    <w:p>
      <w:pPr>
        <w:pStyle w:val="ListBullet"/>
      </w:pPr>
      <w:r>
        <w:t>Reversal references original journal.</w:t>
      </w:r>
    </w:p>
    <w:p>
      <w:pPr>
        <w:pStyle w:val="Heading1"/>
      </w:pPr>
      <w:r>
        <w:t>5. Suggested Account Classes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Class</w:t>
            </w:r>
          </w:p>
        </w:tc>
        <w:tc>
          <w:tcPr>
            <w:tcW w:type="dxa" w:w="5040"/>
          </w:tcPr>
          <w:p>
            <w:r>
              <w:t>Examples</w:t>
            </w:r>
          </w:p>
        </w:tc>
      </w:tr>
      <w:tr>
        <w:tc>
          <w:tcPr>
            <w:tcW w:type="dxa" w:w="5040"/>
          </w:tcPr>
          <w:p>
            <w:r>
              <w:t>Asset</w:t>
            </w:r>
          </w:p>
        </w:tc>
        <w:tc>
          <w:tcPr>
            <w:tcW w:type="dxa" w:w="5040"/>
          </w:tcPr>
          <w:p>
            <w:r>
              <w:t>Cash, bank, UPI receivable, inventory</w:t>
            </w:r>
          </w:p>
        </w:tc>
      </w:tr>
      <w:tr>
        <w:tc>
          <w:tcPr>
            <w:tcW w:type="dxa" w:w="5040"/>
          </w:tcPr>
          <w:p>
            <w:r>
              <w:t>Liability</w:t>
            </w:r>
          </w:p>
        </w:tc>
        <w:tc>
          <w:tcPr>
            <w:tcW w:type="dxa" w:w="5040"/>
          </w:tcPr>
          <w:p>
            <w:r>
              <w:t>Supplier payable, tax payable</w:t>
            </w:r>
          </w:p>
        </w:tc>
      </w:tr>
      <w:tr>
        <w:tc>
          <w:tcPr>
            <w:tcW w:type="dxa" w:w="5040"/>
          </w:tcPr>
          <w:p>
            <w:r>
              <w:t>Equity</w:t>
            </w:r>
          </w:p>
        </w:tc>
        <w:tc>
          <w:tcPr>
            <w:tcW w:type="dxa" w:w="5040"/>
          </w:tcPr>
          <w:p>
            <w:r>
              <w:t>Owner capital/opening equity</w:t>
            </w:r>
          </w:p>
        </w:tc>
      </w:tr>
      <w:tr>
        <w:tc>
          <w:tcPr>
            <w:tcW w:type="dxa" w:w="5040"/>
          </w:tcPr>
          <w:p>
            <w:r>
              <w:t>Revenue</w:t>
            </w:r>
          </w:p>
        </w:tc>
        <w:tc>
          <w:tcPr>
            <w:tcW w:type="dxa" w:w="5040"/>
          </w:tcPr>
          <w:p>
            <w:r>
              <w:t>Feed sales, supplement sales</w:t>
            </w:r>
          </w:p>
        </w:tc>
      </w:tr>
      <w:tr>
        <w:tc>
          <w:tcPr>
            <w:tcW w:type="dxa" w:w="5040"/>
          </w:tcPr>
          <w:p>
            <w:r>
              <w:t>Expense</w:t>
            </w:r>
          </w:p>
        </w:tc>
        <w:tc>
          <w:tcPr>
            <w:tcW w:type="dxa" w:w="5040"/>
          </w:tcPr>
          <w:p>
            <w:r>
              <w:t>Stock loss, bank/payment fees, operating expense</w:t>
            </w:r>
          </w:p>
        </w:tc>
      </w:tr>
      <w:tr>
        <w:tc>
          <w:tcPr>
            <w:tcW w:type="dxa" w:w="5040"/>
          </w:tcPr>
          <w:p>
            <w:r>
              <w:t>Contra/adjustment</w:t>
            </w:r>
          </w:p>
        </w:tc>
        <w:tc>
          <w:tcPr>
            <w:tcW w:type="dxa" w:w="5040"/>
          </w:tcPr>
          <w:p>
            <w:r>
              <w:t>Discounts, returns, rounding according to policy</w:t>
            </w:r>
          </w:p>
        </w:tc>
      </w:tr>
    </w:tbl>
    <w:p>
      <w:r>
        <w:t>Exact chart of accounts is tenant-configurable and must not hardcode tax/legal classifications beyond required system behavior.</w:t>
      </w:r>
    </w:p>
    <w:p>
      <w:pPr>
        <w:pStyle w:val="Heading1"/>
      </w:pPr>
      <w:r>
        <w:t>6. Source-to-Journal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Business event</w:t>
            </w:r>
          </w:p>
        </w:tc>
        <w:tc>
          <w:tcPr>
            <w:tcW w:type="dxa" w:w="5040"/>
          </w:tcPr>
          <w:p>
            <w:r>
              <w:t>Typical accounting effect</w:t>
            </w:r>
          </w:p>
        </w:tc>
      </w:tr>
      <w:tr>
        <w:tc>
          <w:tcPr>
            <w:tcW w:type="dxa" w:w="5040"/>
          </w:tcPr>
          <w:p>
            <w:r>
              <w:t>Cash sale</w:t>
            </w:r>
          </w:p>
        </w:tc>
        <w:tc>
          <w:tcPr>
            <w:tcW w:type="dxa" w:w="5040"/>
          </w:tcPr>
          <w:p>
            <w:r>
              <w:t>Cash Dr / Sales Cr; tax liability as applicable</w:t>
            </w:r>
          </w:p>
        </w:tc>
      </w:tr>
      <w:tr>
        <w:tc>
          <w:tcPr>
            <w:tcW w:type="dxa" w:w="5040"/>
          </w:tcPr>
          <w:p>
            <w:r>
              <w:t>Khata sale</w:t>
            </w:r>
          </w:p>
        </w:tc>
        <w:tc>
          <w:tcPr>
            <w:tcW w:type="dxa" w:w="5040"/>
          </w:tcPr>
          <w:p>
            <w:r>
              <w:t>Customer receivable Dr / Sales Cr; tax liability as applicable</w:t>
            </w:r>
          </w:p>
        </w:tc>
      </w:tr>
      <w:tr>
        <w:tc>
          <w:tcPr>
            <w:tcW w:type="dxa" w:w="5040"/>
          </w:tcPr>
          <w:p>
            <w:r>
              <w:t>UPI sale</w:t>
            </w:r>
          </w:p>
        </w:tc>
        <w:tc>
          <w:tcPr>
            <w:tcW w:type="dxa" w:w="5040"/>
          </w:tcPr>
          <w:p>
            <w:r>
              <w:t>UPI/bank receivable Dr / Sales Cr; tax liability as applicable</w:t>
            </w:r>
          </w:p>
        </w:tc>
      </w:tr>
      <w:tr>
        <w:tc>
          <w:tcPr>
            <w:tcW w:type="dxa" w:w="5040"/>
          </w:tcPr>
          <w:p>
            <w:r>
              <w:t>Purchase GRN</w:t>
            </w:r>
          </w:p>
        </w:tc>
        <w:tc>
          <w:tcPr>
            <w:tcW w:type="dxa" w:w="5040"/>
          </w:tcPr>
          <w:p>
            <w:r>
              <w:t>Inventory Dr / Supplier payable Cr, subject to configured accounting</w:t>
            </w:r>
          </w:p>
        </w:tc>
      </w:tr>
      <w:tr>
        <w:tc>
          <w:tcPr>
            <w:tcW w:type="dxa" w:w="5040"/>
          </w:tcPr>
          <w:p>
            <w:r>
              <w:t>Customer receipt</w:t>
            </w:r>
          </w:p>
        </w:tc>
        <w:tc>
          <w:tcPr>
            <w:tcW w:type="dxa" w:w="5040"/>
          </w:tcPr>
          <w:p>
            <w:r>
              <w:t>Cash/Bank Dr / Customer receivable Cr</w:t>
            </w:r>
          </w:p>
        </w:tc>
      </w:tr>
      <w:tr>
        <w:tc>
          <w:tcPr>
            <w:tcW w:type="dxa" w:w="5040"/>
          </w:tcPr>
          <w:p>
            <w:r>
              <w:t>Supplier payment</w:t>
            </w:r>
          </w:p>
        </w:tc>
        <w:tc>
          <w:tcPr>
            <w:tcW w:type="dxa" w:w="5040"/>
          </w:tcPr>
          <w:p>
            <w:r>
              <w:t>Supplier payable Dr / Cash/Bank Cr</w:t>
            </w:r>
          </w:p>
        </w:tc>
      </w:tr>
      <w:tr>
        <w:tc>
          <w:tcPr>
            <w:tcW w:type="dxa" w:w="5040"/>
          </w:tcPr>
          <w:p>
            <w:r>
              <w:t>Sales return</w:t>
            </w:r>
          </w:p>
        </w:tc>
        <w:tc>
          <w:tcPr>
            <w:tcW w:type="dxa" w:w="5040"/>
          </w:tcPr>
          <w:p>
            <w:r>
              <w:t>Return/Revenue adjustment Dr / Customer/cash/receivable Cr; tax reversal as applicable</w:t>
            </w:r>
          </w:p>
        </w:tc>
      </w:tr>
      <w:tr>
        <w:tc>
          <w:tcPr>
            <w:tcW w:type="dxa" w:w="5040"/>
          </w:tcPr>
          <w:p>
            <w:r>
              <w:t>Contra buy-back</w:t>
            </w:r>
          </w:p>
        </w:tc>
        <w:tc>
          <w:tcPr>
            <w:tcW w:type="dxa" w:w="5040"/>
          </w:tcPr>
          <w:p>
            <w:r>
              <w:t>Inventory Dr / Customer credit/payable Cr according to valuation policy</w:t>
            </w:r>
          </w:p>
        </w:tc>
      </w:tr>
      <w:tr>
        <w:tc>
          <w:tcPr>
            <w:tcW w:type="dxa" w:w="5040"/>
          </w:tcPr>
          <w:p>
            <w:r>
              <w:t>Expense cash payout</w:t>
            </w:r>
          </w:p>
        </w:tc>
        <w:tc>
          <w:tcPr>
            <w:tcW w:type="dxa" w:w="5040"/>
          </w:tcPr>
          <w:p>
            <w:r>
              <w:t>Expense Dr / Cash Cr</w:t>
            </w:r>
          </w:p>
        </w:tc>
      </w:tr>
      <w:tr>
        <w:tc>
          <w:tcPr>
            <w:tcW w:type="dxa" w:w="5040"/>
          </w:tcPr>
          <w:p>
            <w:r>
              <w:t>Stock write-off</w:t>
            </w:r>
          </w:p>
        </w:tc>
        <w:tc>
          <w:tcPr>
            <w:tcW w:type="dxa" w:w="5040"/>
          </w:tcPr>
          <w:p>
            <w:r>
              <w:t>Loss/expense Dr / Inventory Cr</w:t>
            </w:r>
          </w:p>
        </w:tc>
      </w:tr>
    </w:tbl>
    <w:p>
      <w:r>
        <w:t>Actual account mapping is configurable and must match the tenant's accounting policy and tax treatment.</w:t>
      </w:r>
    </w:p>
    <w:p>
      <w:pPr>
        <w:pStyle w:val="Heading1"/>
      </w:pPr>
      <w:r>
        <w:t>7. Customer Khata Model</w:t>
      </w:r>
    </w:p>
    <w:p>
      <w:pPr>
        <w:pStyle w:val="ListBullet"/>
      </w:pPr>
      <w:r>
        <w:t>Khata represents an auditable customer subledger, not merely a balance column.</w:t>
      </w:r>
    </w:p>
    <w:p>
      <w:pPr>
        <w:pStyle w:val="ListBullet"/>
      </w:pPr>
      <w:r>
        <w:t>Every debit/credit entry has source type and source ID.</w:t>
      </w:r>
    </w:p>
    <w:p>
      <w:pPr>
        <w:pStyle w:val="ListBullet"/>
      </w:pPr>
      <w:r>
        <w:t>Invoice on credit increases receivable.</w:t>
      </w:r>
    </w:p>
    <w:p>
      <w:pPr>
        <w:pStyle w:val="ListBullet"/>
      </w:pPr>
      <w:r>
        <w:t>Receipt reduces receivable.</w:t>
      </w:r>
    </w:p>
    <w:p>
      <w:pPr>
        <w:pStyle w:val="ListBullet"/>
      </w:pPr>
      <w:r>
        <w:t>Contra credit reduces receivable/increases customer credit.</w:t>
      </w:r>
    </w:p>
    <w:p>
      <w:pPr>
        <w:pStyle w:val="ListBullet"/>
      </w:pPr>
      <w:r>
        <w:t>Returns reduce receivable or create refund/credit according to policy.</w:t>
      </w:r>
    </w:p>
    <w:p>
      <w:pPr>
        <w:pStyle w:val="ListBullet"/>
      </w:pPr>
      <w:r>
        <w:t>Adjustments require permission and reason.</w:t>
      </w:r>
    </w:p>
    <w:p>
      <w:pPr>
        <w:pStyle w:val="ListBullet"/>
      </w:pPr>
      <w:r>
        <w:t>Running balance is a projection; ledger entries are authoritative.</w:t>
      </w:r>
    </w:p>
    <w:p>
      <w:pPr>
        <w:pStyle w:val="Heading1"/>
      </w:pPr>
      <w:r>
        <w:t>8. Khata Entry Types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Entry</w:t>
            </w:r>
          </w:p>
        </w:tc>
        <w:tc>
          <w:tcPr>
            <w:tcW w:type="dxa" w:w="5040"/>
          </w:tcPr>
          <w:p>
            <w:r>
              <w:t>Effect on customer outstanding</w:t>
            </w:r>
          </w:p>
        </w:tc>
      </w:tr>
      <w:tr>
        <w:tc>
          <w:tcPr>
            <w:tcW w:type="dxa" w:w="5040"/>
          </w:tcPr>
          <w:p>
            <w:r>
              <w:t>CREDIT_SALE</w:t>
            </w:r>
          </w:p>
        </w:tc>
        <w:tc>
          <w:tcPr>
            <w:tcW w:type="dxa" w:w="5040"/>
          </w:tcPr>
          <w:p>
            <w:r>
              <w:t>Increase</w:t>
            </w:r>
          </w:p>
        </w:tc>
      </w:tr>
      <w:tr>
        <w:tc>
          <w:tcPr>
            <w:tcW w:type="dxa" w:w="5040"/>
          </w:tcPr>
          <w:p>
            <w:r>
              <w:t>RECEIPT</w:t>
            </w:r>
          </w:p>
        </w:tc>
        <w:tc>
          <w:tcPr>
            <w:tcW w:type="dxa" w:w="5040"/>
          </w:tcPr>
          <w:p>
            <w:r>
              <w:t>Decrease</w:t>
            </w:r>
          </w:p>
        </w:tc>
      </w:tr>
      <w:tr>
        <w:tc>
          <w:tcPr>
            <w:tcW w:type="dxa" w:w="5040"/>
          </w:tcPr>
          <w:p>
            <w:r>
              <w:t>SALES_RETURN</w:t>
            </w:r>
          </w:p>
        </w:tc>
        <w:tc>
          <w:tcPr>
            <w:tcW w:type="dxa" w:w="5040"/>
          </w:tcPr>
          <w:p>
            <w:r>
              <w:t>Decrease</w:t>
            </w:r>
          </w:p>
        </w:tc>
      </w:tr>
      <w:tr>
        <w:tc>
          <w:tcPr>
            <w:tcW w:type="dxa" w:w="5040"/>
          </w:tcPr>
          <w:p>
            <w:r>
              <w:t>CONTRA_CREDIT</w:t>
            </w:r>
          </w:p>
        </w:tc>
        <w:tc>
          <w:tcPr>
            <w:tcW w:type="dxa" w:w="5040"/>
          </w:tcPr>
          <w:p>
            <w:r>
              <w:t>Decrease</w:t>
            </w:r>
          </w:p>
        </w:tc>
      </w:tr>
      <w:tr>
        <w:tc>
          <w:tcPr>
            <w:tcW w:type="dxa" w:w="5040"/>
          </w:tcPr>
          <w:p>
            <w:r>
              <w:t>DEBIT_ADJUSTMENT</w:t>
            </w:r>
          </w:p>
        </w:tc>
        <w:tc>
          <w:tcPr>
            <w:tcW w:type="dxa" w:w="5040"/>
          </w:tcPr>
          <w:p>
            <w:r>
              <w:t>Increase</w:t>
            </w:r>
          </w:p>
        </w:tc>
      </w:tr>
      <w:tr>
        <w:tc>
          <w:tcPr>
            <w:tcW w:type="dxa" w:w="5040"/>
          </w:tcPr>
          <w:p>
            <w:r>
              <w:t>CREDIT_ADJUSTMENT</w:t>
            </w:r>
          </w:p>
        </w:tc>
        <w:tc>
          <w:tcPr>
            <w:tcW w:type="dxa" w:w="5040"/>
          </w:tcPr>
          <w:p>
            <w:r>
              <w:t>Decrease</w:t>
            </w:r>
          </w:p>
        </w:tc>
      </w:tr>
      <w:tr>
        <w:tc>
          <w:tcPr>
            <w:tcW w:type="dxa" w:w="5040"/>
          </w:tcPr>
          <w:p>
            <w:r>
              <w:t>REVERSAL</w:t>
            </w:r>
          </w:p>
        </w:tc>
        <w:tc>
          <w:tcPr>
            <w:tcW w:type="dxa" w:w="5040"/>
          </w:tcPr>
          <w:p>
            <w:r>
              <w:t>Inverse of original</w:t>
            </w:r>
          </w:p>
        </w:tc>
      </w:tr>
    </w:tbl>
    <w:p>
      <w:pPr>
        <w:pStyle w:val="Heading1"/>
      </w:pPr>
      <w:r>
        <w:t>9. Credit Limit</w:t>
      </w:r>
    </w:p>
    <w:p>
      <w:r>
        <w:t>Credit limit validation must occur transactionally at finalization.</w:t>
      </w:r>
    </w:p>
    <w:p>
      <w:pPr>
        <w:pStyle w:val="ListNumber"/>
      </w:pPr>
      <w:r>
        <w:t>Read customer credit profile.</w:t>
      </w:r>
    </w:p>
    <w:p>
      <w:pPr>
        <w:pStyle w:val="ListNumber"/>
      </w:pPr>
      <w:r>
        <w:t>Calculate current authoritative outstanding exposure.</w:t>
      </w:r>
    </w:p>
    <w:p>
      <w:pPr>
        <w:pStyle w:val="ListNumber"/>
      </w:pPr>
      <w:r>
        <w:t>Include pending transaction amount according to policy.</w:t>
      </w:r>
    </w:p>
    <w:p>
      <w:pPr>
        <w:pStyle w:val="ListNumber"/>
      </w:pPr>
      <w:r>
        <w:t>Compare with credit limit.</w:t>
      </w:r>
    </w:p>
    <w:p>
      <w:pPr>
        <w:pStyle w:val="ListNumber"/>
      </w:pPr>
      <w:r>
        <w:t>If within limit, continue.</w:t>
      </w:r>
    </w:p>
    <w:p>
      <w:pPr>
        <w:pStyle w:val="ListNumber"/>
      </w:pPr>
      <w:r>
        <w:t>If exceeded, require configured override permission/PIN or reject.</w:t>
      </w:r>
    </w:p>
    <w:p>
      <w:pPr>
        <w:pStyle w:val="ListNumber"/>
      </w:pPr>
      <w:r>
        <w:t>Persist override reason and actor.</w:t>
      </w:r>
    </w:p>
    <w:p>
      <w:pPr>
        <w:pStyle w:val="ListNumber"/>
      </w:pPr>
      <w:r>
        <w:t>Commit sale and ledger atomically.</w:t>
      </w:r>
    </w:p>
    <w:p>
      <w:pPr>
        <w:pStyle w:val="Heading1"/>
      </w:pPr>
      <w:r>
        <w:t>10. Credit Exposure Formula</w:t>
      </w:r>
    </w:p>
    <w:p>
      <w:r>
        <w:t>Available credit = credit limit − outstanding exposure, subject to configured exclusions/holds. The exact exposure definition must be tenant-configurable and documented. It must not depend solely on a cached mobile balance.</w:t>
      </w:r>
    </w:p>
    <w:p>
      <w:pPr>
        <w:pStyle w:val="Heading1"/>
      </w:pPr>
      <w:r>
        <w:t>11. Owner/Admin PIN Override</w:t>
      </w:r>
    </w:p>
    <w:p>
      <w:pPr>
        <w:pStyle w:val="ListBullet"/>
      </w:pPr>
      <w:r>
        <w:t>PIN is separately protected from normal password credentials.</w:t>
      </w:r>
    </w:p>
    <w:p>
      <w:pPr>
        <w:pStyle w:val="ListBullet"/>
      </w:pPr>
      <w:r>
        <w:t>Verify against secure backend-controlled representation when online.</w:t>
      </w:r>
    </w:p>
    <w:p>
      <w:pPr>
        <w:pStyle w:val="ListBullet"/>
      </w:pPr>
      <w:r>
        <w:t>Offline override, if allowed, uses a protected local authorization mechanism with later server validation.</w:t>
      </w:r>
    </w:p>
    <w:p>
      <w:pPr>
        <w:pStyle w:val="ListBullet"/>
      </w:pPr>
      <w:r>
        <w:t>Require elevated permission.</w:t>
      </w:r>
    </w:p>
    <w:p>
      <w:pPr>
        <w:pStyle w:val="ListBullet"/>
      </w:pPr>
      <w:r>
        <w:t>Record actor, device, time, requested amount, limit, override reason and resulting decision.</w:t>
      </w:r>
    </w:p>
    <w:p>
      <w:pPr>
        <w:pStyle w:val="ListBullet"/>
      </w:pPr>
      <w:r>
        <w:t>Do not log the PIN.</w:t>
      </w:r>
    </w:p>
    <w:p>
      <w:pPr>
        <w:pStyle w:val="Heading1"/>
      </w:pPr>
      <w:r>
        <w:t>12. Customer Receipts</w:t>
      </w:r>
    </w:p>
    <w:p>
      <w:pPr>
        <w:pStyle w:val="ListNumber"/>
      </w:pPr>
      <w:r>
        <w:t>Identify customer.</w:t>
      </w:r>
    </w:p>
    <w:p>
      <w:pPr>
        <w:pStyle w:val="ListNumber"/>
      </w:pPr>
      <w:r>
        <w:t>Enter receipt amount and tender.</w:t>
      </w:r>
    </w:p>
    <w:p>
      <w:pPr>
        <w:pStyle w:val="ListNumber"/>
      </w:pPr>
      <w:r>
        <w:t>Validate payment/tender.</w:t>
      </w:r>
    </w:p>
    <w:p>
      <w:pPr>
        <w:pStyle w:val="ListNumber"/>
      </w:pPr>
      <w:r>
        <w:t>Allocate against outstanding invoices or oldest eligible ledger items according to policy.</w:t>
      </w:r>
    </w:p>
    <w:p>
      <w:pPr>
        <w:pStyle w:val="ListNumber"/>
      </w:pPr>
      <w:r>
        <w:t>Create customer ledger credit.</w:t>
      </w:r>
    </w:p>
    <w:p>
      <w:pPr>
        <w:pStyle w:val="ListNumber"/>
      </w:pPr>
      <w:r>
        <w:t>Create accounting journal.</w:t>
      </w:r>
    </w:p>
    <w:p>
      <w:pPr>
        <w:pStyle w:val="ListNumber"/>
      </w:pPr>
      <w:r>
        <w:t>Commit atomically.</w:t>
      </w:r>
    </w:p>
    <w:p>
      <w:pPr>
        <w:pStyle w:val="ListNumber"/>
      </w:pPr>
      <w:r>
        <w:t>Generate receipt.</w:t>
      </w:r>
    </w:p>
    <w:p>
      <w:pPr>
        <w:pStyle w:val="ListNumber"/>
      </w:pPr>
      <w:r>
        <w:t>Sync if originated offline.</w:t>
      </w:r>
    </w:p>
    <w:p>
      <w:pPr>
        <w:pStyle w:val="Heading1"/>
      </w:pPr>
      <w:r>
        <w:t>13. Payment Allocation</w:t>
      </w:r>
    </w:p>
    <w:p>
      <w:pPr>
        <w:pStyle w:val="ListBullet"/>
      </w:pPr>
      <w:r>
        <w:t>One payment may settle multiple invoices.</w:t>
      </w:r>
    </w:p>
    <w:p>
      <w:pPr>
        <w:pStyle w:val="ListBullet"/>
      </w:pPr>
      <w:r>
        <w:t>One invoice may be settled by multiple payments.</w:t>
      </w:r>
    </w:p>
    <w:p>
      <w:pPr>
        <w:pStyle w:val="ListBullet"/>
      </w:pPr>
      <w:r>
        <w:t>Allocations are separate immutable records.</w:t>
      </w:r>
    </w:p>
    <w:p>
      <w:pPr>
        <w:pStyle w:val="ListBullet"/>
      </w:pPr>
      <w:r>
        <w:t>Allocation total cannot exceed payment amount.</w:t>
      </w:r>
    </w:p>
    <w:p>
      <w:pPr>
        <w:pStyle w:val="ListBullet"/>
      </w:pPr>
      <w:r>
        <w:t>Invoice settled amount cannot exceed invoice receivable/payment due.</w:t>
      </w:r>
    </w:p>
    <w:p>
      <w:pPr>
        <w:pStyle w:val="ListBullet"/>
      </w:pPr>
      <w:r>
        <w:t>Unallocated payment remains an explicit unapplied balance.</w:t>
      </w:r>
    </w:p>
    <w:p>
      <w:pPr>
        <w:pStyle w:val="ListBullet"/>
      </w:pPr>
      <w:r>
        <w:t>Refund reverses the appropriate allocation/payment according to provider and business rules.</w:t>
      </w:r>
    </w:p>
    <w:p>
      <w:pPr>
        <w:pStyle w:val="Heading1"/>
      </w:pPr>
      <w:r>
        <w:t>14. Invoice Receivable Lifecycle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State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OPEN</w:t>
            </w:r>
          </w:p>
        </w:tc>
        <w:tc>
          <w:tcPr>
            <w:tcW w:type="dxa" w:w="5040"/>
          </w:tcPr>
          <w:p>
            <w:r>
              <w:t>Amount due</w:t>
            </w:r>
          </w:p>
        </w:tc>
      </w:tr>
      <w:tr>
        <w:tc>
          <w:tcPr>
            <w:tcW w:type="dxa" w:w="5040"/>
          </w:tcPr>
          <w:p>
            <w:r>
              <w:t>PARTIALLY_PAID</w:t>
            </w:r>
          </w:p>
        </w:tc>
        <w:tc>
          <w:tcPr>
            <w:tcW w:type="dxa" w:w="5040"/>
          </w:tcPr>
          <w:p>
            <w:r>
              <w:t>Some amount allocated</w:t>
            </w:r>
          </w:p>
        </w:tc>
      </w:tr>
      <w:tr>
        <w:tc>
          <w:tcPr>
            <w:tcW w:type="dxa" w:w="5040"/>
          </w:tcPr>
          <w:p>
            <w:r>
              <w:t>PAID</w:t>
            </w:r>
          </w:p>
        </w:tc>
        <w:tc>
          <w:tcPr>
            <w:tcW w:type="dxa" w:w="5040"/>
          </w:tcPr>
          <w:p>
            <w:r>
              <w:t>Fully settled</w:t>
            </w:r>
          </w:p>
        </w:tc>
      </w:tr>
      <w:tr>
        <w:tc>
          <w:tcPr>
            <w:tcW w:type="dxa" w:w="5040"/>
          </w:tcPr>
          <w:p>
            <w:r>
              <w:t>OVERPAID</w:t>
            </w:r>
          </w:p>
        </w:tc>
        <w:tc>
          <w:tcPr>
            <w:tcW w:type="dxa" w:w="5040"/>
          </w:tcPr>
          <w:p>
            <w:r>
              <w:t>Payment exceeds due; requires defined treatment</w:t>
            </w:r>
          </w:p>
        </w:tc>
      </w:tr>
      <w:tr>
        <w:tc>
          <w:tcPr>
            <w:tcW w:type="dxa" w:w="5040"/>
          </w:tcPr>
          <w:p>
            <w:r>
              <w:t>CANCELLED</w:t>
            </w:r>
          </w:p>
        </w:tc>
        <w:tc>
          <w:tcPr>
            <w:tcW w:type="dxa" w:w="5040"/>
          </w:tcPr>
          <w:p>
            <w:r>
              <w:t>Voided only before final posting under policy</w:t>
            </w:r>
          </w:p>
        </w:tc>
      </w:tr>
      <w:tr>
        <w:tc>
          <w:tcPr>
            <w:tcW w:type="dxa" w:w="5040"/>
          </w:tcPr>
          <w:p>
            <w:r>
              <w:t>RETURN_ADJUSTED</w:t>
            </w:r>
          </w:p>
        </w:tc>
        <w:tc>
          <w:tcPr>
            <w:tcW w:type="dxa" w:w="5040"/>
          </w:tcPr>
          <w:p>
            <w:r>
              <w:t>Due changed by return/credit</w:t>
            </w:r>
          </w:p>
        </w:tc>
      </w:tr>
      <w:tr>
        <w:tc>
          <w:tcPr>
            <w:tcW w:type="dxa" w:w="5040"/>
          </w:tcPr>
          <w:p>
            <w:r>
              <w:t>REVERSED</w:t>
            </w:r>
          </w:p>
        </w:tc>
        <w:tc>
          <w:tcPr>
            <w:tcW w:type="dxa" w:w="5040"/>
          </w:tcPr>
          <w:p>
            <w:r>
              <w:t>Original financial event reversed</w:t>
            </w:r>
          </w:p>
        </w:tc>
      </w:tr>
    </w:tbl>
    <w:p>
      <w:pPr>
        <w:pStyle w:val="Heading1"/>
      </w:pPr>
      <w:r>
        <w:t>15. Overpayment Policy</w:t>
      </w:r>
    </w:p>
    <w:p>
      <w:pPr>
        <w:pStyle w:val="ListBullet"/>
      </w:pPr>
      <w:r>
        <w:t>Never silently discard excess payment.</w:t>
      </w:r>
    </w:p>
    <w:p>
      <w:pPr>
        <w:pStyle w:val="ListBullet"/>
      </w:pPr>
      <w:r>
        <w:t>Represent excess as customer credit/unapplied payment or refund according to policy.</w:t>
      </w:r>
    </w:p>
    <w:p>
      <w:pPr>
        <w:pStyle w:val="ListBullet"/>
      </w:pPr>
      <w:r>
        <w:t>Require approval for cash refund where configured.</w:t>
      </w:r>
    </w:p>
    <w:p>
      <w:pPr>
        <w:pStyle w:val="ListBullet"/>
      </w:pPr>
      <w:r>
        <w:t>Maintain full allocation history.</w:t>
      </w:r>
    </w:p>
    <w:p>
      <w:pPr>
        <w:pStyle w:val="Heading1"/>
      </w:pPr>
      <w:r>
        <w:t>16. Supplier Payables</w:t>
      </w:r>
    </w:p>
    <w:p>
      <w:pPr>
        <w:pStyle w:val="ListBullet"/>
      </w:pPr>
      <w:r>
        <w:t>GRN creates supplier payable according to configured accounting.</w:t>
      </w:r>
    </w:p>
    <w:p>
      <w:pPr>
        <w:pStyle w:val="ListBullet"/>
      </w:pPr>
      <w:r>
        <w:t>Supplier payments reduce payable.</w:t>
      </w:r>
    </w:p>
    <w:p>
      <w:pPr>
        <w:pStyle w:val="ListBullet"/>
      </w:pPr>
      <w:r>
        <w:t>Supplier debit/credit adjustments require source/reason.</w:t>
      </w:r>
    </w:p>
    <w:p>
      <w:pPr>
        <w:pStyle w:val="ListBullet"/>
      </w:pPr>
      <w:r>
        <w:t>Supplier ledger is immutable.</w:t>
      </w:r>
    </w:p>
    <w:p>
      <w:pPr>
        <w:pStyle w:val="ListBullet"/>
      </w:pPr>
      <w:r>
        <w:t>Supplier balance is derived from ledger entries.</w:t>
      </w:r>
    </w:p>
    <w:p>
      <w:pPr>
        <w:pStyle w:val="ListBullet"/>
      </w:pPr>
      <w:r>
        <w:t>Purchase returns reverse inventory/payable as applicable.</w:t>
      </w:r>
    </w:p>
    <w:p>
      <w:pPr>
        <w:pStyle w:val="Heading1"/>
      </w:pPr>
      <w:r>
        <w:t>17. Contra / Buy-Back Accounting</w:t>
      </w:r>
    </w:p>
    <w:p>
      <w:r>
        <w:t>Contra is a controlled purchase/buy-back flow where a customer/farmer supplies a commodity and receives credit/value.</w:t>
      </w:r>
    </w:p>
    <w:p>
      <w:pPr>
        <w:pStyle w:val="ListNumber"/>
      </w:pPr>
      <w:r>
        <w:t>Capture supplier/customer identity.</w:t>
      </w:r>
    </w:p>
    <w:p>
      <w:pPr>
        <w:pStyle w:val="ListNumber"/>
      </w:pPr>
      <w:r>
        <w:t>Capture product/UOM/quantity and quality data.</w:t>
      </w:r>
    </w:p>
    <w:p>
      <w:pPr>
        <w:pStyle w:val="ListNumber"/>
      </w:pPr>
      <w:r>
        <w:t>Value commodity using configured valuation policy.</w:t>
      </w:r>
    </w:p>
    <w:p>
      <w:pPr>
        <w:pStyle w:val="ListNumber"/>
      </w:pPr>
      <w:r>
        <w:t>Receive inventory through inventory engine.</w:t>
      </w:r>
    </w:p>
    <w:p>
      <w:pPr>
        <w:pStyle w:val="ListNumber"/>
      </w:pPr>
      <w:r>
        <w:t>Create customer credit ledger entry.</w:t>
      </w:r>
    </w:p>
    <w:p>
      <w:pPr>
        <w:pStyle w:val="ListNumber"/>
      </w:pPr>
      <w:r>
        <w:t>Post accounting entry.</w:t>
      </w:r>
    </w:p>
    <w:p>
      <w:pPr>
        <w:pStyle w:val="ListNumber"/>
      </w:pPr>
      <w:r>
        <w:t>Commit inventory + ledger + accounting atomically.</w:t>
      </w:r>
    </w:p>
    <w:p>
      <w:r>
        <w:t>Valuation must not be inferred from retail selling price unless explicitly configured.</w:t>
      </w:r>
    </w:p>
    <w:p>
      <w:pPr>
        <w:pStyle w:val="Heading1"/>
      </w:pPr>
      <w:r>
        <w:t>18. Contra Valuation</w:t>
      </w:r>
    </w:p>
    <w:p>
      <w:pPr>
        <w:pStyle w:val="ListBullet"/>
      </w:pPr>
      <w:r>
        <w:t>Use a configured purchase/buy-back rate or approved valuation.</w:t>
      </w:r>
    </w:p>
    <w:p>
      <w:pPr>
        <w:pStyle w:val="ListBullet"/>
      </w:pPr>
      <w:r>
        <w:t>Record rate version/effective date.</w:t>
      </w:r>
    </w:p>
    <w:p>
      <w:pPr>
        <w:pStyle w:val="ListBullet"/>
      </w:pPr>
      <w:r>
        <w:t>Record gross/quality adjustments if applicable.</w:t>
      </w:r>
    </w:p>
    <w:p>
      <w:pPr>
        <w:pStyle w:val="ListBullet"/>
      </w:pPr>
      <w:r>
        <w:t>Preserve original valuation on the transaction.</w:t>
      </w:r>
    </w:p>
    <w:p>
      <w:pPr>
        <w:pStyle w:val="ListBullet"/>
      </w:pPr>
      <w:r>
        <w:t>Changes to future rates must not rewrite historical contra transactions.</w:t>
      </w:r>
    </w:p>
    <w:p>
      <w:pPr>
        <w:pStyle w:val="Heading1"/>
      </w:pPr>
      <w:r>
        <w:t>19. Sales Returns &amp; Refunds</w:t>
      </w:r>
    </w:p>
    <w:p>
      <w:pPr>
        <w:pStyle w:val="ListNumber"/>
      </w:pPr>
      <w:r>
        <w:t>Reference original invoice.</w:t>
      </w:r>
    </w:p>
    <w:p>
      <w:pPr>
        <w:pStyle w:val="ListNumber"/>
      </w:pPr>
      <w:r>
        <w:t>Validate returnable quantity.</w:t>
      </w:r>
    </w:p>
    <w:p>
      <w:pPr>
        <w:pStyle w:val="ListNumber"/>
      </w:pPr>
      <w:r>
        <w:t>Process inventory return.</w:t>
      </w:r>
    </w:p>
    <w:p>
      <w:pPr>
        <w:pStyle w:val="ListNumber"/>
      </w:pPr>
      <w:r>
        <w:t>Reverse revenue/tax according to configured accounting.</w:t>
      </w:r>
    </w:p>
    <w:p>
      <w:pPr>
        <w:pStyle w:val="ListNumber"/>
      </w:pPr>
      <w:r>
        <w:t>Reverse/reduce customer receivable or initiate refund.</w:t>
      </w:r>
    </w:p>
    <w:p>
      <w:pPr>
        <w:pStyle w:val="ListNumber"/>
      </w:pPr>
      <w:r>
        <w:t>Create provider refund if required.</w:t>
      </w:r>
    </w:p>
    <w:p>
      <w:pPr>
        <w:pStyle w:val="ListNumber"/>
      </w:pPr>
      <w:r>
        <w:t>Commit internal return transaction atomically.</w:t>
      </w:r>
    </w:p>
    <w:p>
      <w:pPr>
        <w:pStyle w:val="ListNumber"/>
      </w:pPr>
      <w:r>
        <w:t>Track external refund asynchronously.</w:t>
      </w:r>
    </w:p>
    <w:p>
      <w:pPr>
        <w:pStyle w:val="Heading1"/>
      </w:pPr>
      <w:r>
        <w:t>20. Refund Rules</w:t>
      </w:r>
    </w:p>
    <w:p>
      <w:pPr>
        <w:pStyle w:val="ListBullet"/>
      </w:pPr>
      <w:r>
        <w:t>Provider refund has its own idempotency key.</w:t>
      </w:r>
    </w:p>
    <w:p>
      <w:pPr>
        <w:pStyle w:val="ListBullet"/>
      </w:pPr>
      <w:r>
        <w:t>Do not create duplicate refunds on retry.</w:t>
      </w:r>
    </w:p>
    <w:p>
      <w:pPr>
        <w:pStyle w:val="ListBullet"/>
      </w:pPr>
      <w:r>
        <w:t>Refund status is pending until provider confirmation where applicable.</w:t>
      </w:r>
    </w:p>
    <w:p>
      <w:pPr>
        <w:pStyle w:val="ListBullet"/>
      </w:pPr>
      <w:r>
        <w:t>Refund failure does not erase the original return.</w:t>
      </w:r>
    </w:p>
    <w:p>
      <w:pPr>
        <w:pStyle w:val="ListBullet"/>
      </w:pPr>
      <w:r>
        <w:t>Cash refunds require authorization according to policy.</w:t>
      </w:r>
    </w:p>
    <w:p>
      <w:pPr>
        <w:pStyle w:val="Heading1"/>
      </w:pPr>
      <w:r>
        <w:t>21. Multi-Tender Accounting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Tender</w:t>
            </w:r>
          </w:p>
        </w:tc>
        <w:tc>
          <w:tcPr>
            <w:tcW w:type="dxa" w:w="5040"/>
          </w:tcPr>
          <w:p>
            <w:r>
              <w:t>Typical account</w:t>
            </w:r>
          </w:p>
        </w:tc>
      </w:tr>
      <w:tr>
        <w:tc>
          <w:tcPr>
            <w:tcW w:type="dxa" w:w="5040"/>
          </w:tcPr>
          <w:p>
            <w:r>
              <w:t>Cash</w:t>
            </w:r>
          </w:p>
        </w:tc>
        <w:tc>
          <w:tcPr>
            <w:tcW w:type="dxa" w:w="5040"/>
          </w:tcPr>
          <w:p>
            <w:r>
              <w:t>Cash on hand</w:t>
            </w:r>
          </w:p>
        </w:tc>
      </w:tr>
      <w:tr>
        <w:tc>
          <w:tcPr>
            <w:tcW w:type="dxa" w:w="5040"/>
          </w:tcPr>
          <w:p>
            <w:r>
              <w:t>UPI</w:t>
            </w:r>
          </w:p>
        </w:tc>
        <w:tc>
          <w:tcPr>
            <w:tcW w:type="dxa" w:w="5040"/>
          </w:tcPr>
          <w:p>
            <w:r>
              <w:t>UPI/bank receivable</w:t>
            </w:r>
          </w:p>
        </w:tc>
      </w:tr>
      <w:tr>
        <w:tc>
          <w:tcPr>
            <w:tcW w:type="dxa" w:w="5040"/>
          </w:tcPr>
          <w:p>
            <w:r>
              <w:t>Bank transfer</w:t>
            </w:r>
          </w:p>
        </w:tc>
        <w:tc>
          <w:tcPr>
            <w:tcW w:type="dxa" w:w="5040"/>
          </w:tcPr>
          <w:p>
            <w:r>
              <w:t>Bank account</w:t>
            </w:r>
          </w:p>
        </w:tc>
      </w:tr>
      <w:tr>
        <w:tc>
          <w:tcPr>
            <w:tcW w:type="dxa" w:w="5040"/>
          </w:tcPr>
          <w:p>
            <w:r>
              <w:t>Khata</w:t>
            </w:r>
          </w:p>
        </w:tc>
        <w:tc>
          <w:tcPr>
            <w:tcW w:type="dxa" w:w="5040"/>
          </w:tcPr>
          <w:p>
            <w:r>
              <w:t>Customer receivable</w:t>
            </w:r>
          </w:p>
        </w:tc>
      </w:tr>
      <w:tr>
        <w:tc>
          <w:tcPr>
            <w:tcW w:type="dxa" w:w="5040"/>
          </w:tcPr>
          <w:p>
            <w:r>
              <w:t>Split tender</w:t>
            </w:r>
          </w:p>
        </w:tc>
        <w:tc>
          <w:tcPr>
            <w:tcW w:type="dxa" w:w="5040"/>
          </w:tcPr>
          <w:p>
            <w:r>
              <w:t>Multiple corresponding accounts</w:t>
            </w:r>
          </w:p>
        </w:tc>
      </w:tr>
    </w:tbl>
    <w:p>
      <w:r>
        <w:t>Tender allocation must sum exactly to invoice grand total, subject to explicit rounding rules.</w:t>
      </w:r>
    </w:p>
    <w:p>
      <w:pPr>
        <w:pStyle w:val="Heading1"/>
      </w:pPr>
      <w:r>
        <w:t>22. Rounding</w:t>
      </w:r>
    </w:p>
    <w:p>
      <w:pPr>
        <w:pStyle w:val="ListBullet"/>
      </w:pPr>
      <w:r>
        <w:t>Calculate line/tax totals using decimal arithmetic.</w:t>
      </w:r>
    </w:p>
    <w:p>
      <w:pPr>
        <w:pStyle w:val="ListBullet"/>
      </w:pPr>
      <w:r>
        <w:t>Apply documented rounding at the defined boundary.</w:t>
      </w:r>
    </w:p>
    <w:p>
      <w:pPr>
        <w:pStyle w:val="ListBullet"/>
      </w:pPr>
      <w:r>
        <w:t>Store rounded financial amounts used for posting.</w:t>
      </w:r>
    </w:p>
    <w:p>
      <w:pPr>
        <w:pStyle w:val="ListBullet"/>
      </w:pPr>
      <w:r>
        <w:t>Do not recalculate historical totals using changed rounding rules.</w:t>
      </w:r>
    </w:p>
    <w:p>
      <w:pPr>
        <w:pStyle w:val="ListBullet"/>
      </w:pPr>
      <w:r>
        <w:t>Rounding differences, if material/accounting-relevant, use a configured rounding account.</w:t>
      </w:r>
    </w:p>
    <w:p>
      <w:pPr>
        <w:pStyle w:val="Heading1"/>
      </w:pPr>
      <w:r>
        <w:t>23. GST / Tax Accounting</w:t>
      </w:r>
    </w:p>
    <w:p>
      <w:pPr>
        <w:pStyle w:val="ListBullet"/>
      </w:pPr>
      <w:r>
        <w:t>Tax rates/profiles are configuration-driven and effective-dated.</w:t>
      </w:r>
    </w:p>
    <w:p>
      <w:pPr>
        <w:pStyle w:val="ListBullet"/>
      </w:pPr>
      <w:r>
        <w:t>Tax components are stored separately when required.</w:t>
      </w:r>
    </w:p>
    <w:p>
      <w:pPr>
        <w:pStyle w:val="ListBullet"/>
      </w:pPr>
      <w:r>
        <w:t>Invoice tax lines feed tax liability reporting.</w:t>
      </w:r>
    </w:p>
    <w:p>
      <w:pPr>
        <w:pStyle w:val="ListBullet"/>
      </w:pPr>
      <w:r>
        <w:t>Returns reverse applicable tax postings.</w:t>
      </w:r>
    </w:p>
    <w:p>
      <w:pPr>
        <w:pStyle w:val="ListBullet"/>
      </w:pPr>
      <w:r>
        <w:t>Tax exports must reconcile to invoices and credit/return documents.</w:t>
      </w:r>
    </w:p>
    <w:p>
      <w:pPr>
        <w:pStyle w:val="ListBullet"/>
      </w:pPr>
      <w:r>
        <w:t>Do not hardcode product tax assumptions such as universal 0% or 18%.</w:t>
      </w:r>
    </w:p>
    <w:p>
      <w:pPr>
        <w:pStyle w:val="Heading1"/>
      </w:pPr>
      <w:r>
        <w:t>24. Cash Session</w:t>
      </w:r>
    </w:p>
    <w:p>
      <w:pPr>
        <w:pStyle w:val="ListBullet"/>
      </w:pPr>
      <w:r>
        <w:t>Open session with opening float.</w:t>
      </w:r>
    </w:p>
    <w:p>
      <w:pPr>
        <w:pStyle w:val="ListBullet"/>
      </w:pPr>
      <w:r>
        <w:t>Record cash sales.</w:t>
      </w:r>
    </w:p>
    <w:p>
      <w:pPr>
        <w:pStyle w:val="ListBullet"/>
      </w:pPr>
      <w:r>
        <w:t>Record cash customer receipts.</w:t>
      </w:r>
    </w:p>
    <w:p>
      <w:pPr>
        <w:pStyle w:val="ListBullet"/>
      </w:pPr>
      <w:r>
        <w:t>Record cash payouts/expenses.</w:t>
      </w:r>
    </w:p>
    <w:p>
      <w:pPr>
        <w:pStyle w:val="ListBullet"/>
      </w:pPr>
      <w:r>
        <w:t>Record authorized cash refunds.</w:t>
      </w:r>
    </w:p>
    <w:p>
      <w:pPr>
        <w:pStyle w:val="ListBullet"/>
      </w:pPr>
      <w:r>
        <w:t>Calculate expected cash.</w:t>
      </w:r>
    </w:p>
    <w:p>
      <w:pPr>
        <w:pStyle w:val="ListBullet"/>
      </w:pPr>
      <w:r>
        <w:t>Count physical cash.</w:t>
      </w:r>
    </w:p>
    <w:p>
      <w:pPr>
        <w:pStyle w:val="ListBullet"/>
      </w:pPr>
      <w:r>
        <w:t>Record variance and reason.</w:t>
      </w:r>
    </w:p>
    <w:p>
      <w:pPr>
        <w:pStyle w:val="ListBullet"/>
      </w:pPr>
      <w:r>
        <w:t>Close session immutably.</w:t>
      </w:r>
    </w:p>
    <w:p>
      <w:pPr>
        <w:pStyle w:val="Heading1"/>
      </w:pPr>
      <w:r>
        <w:t>25. Expected Cash Formula</w:t>
      </w:r>
    </w:p>
    <w:p>
      <w:r>
        <w:t>Expected closing cash = opening cash + cash inflows − cash outflows, with each included movement type explicitly configured. UPI, credit sales and noncash tenders must not be included as physical cash.</w:t>
      </w:r>
    </w:p>
    <w:p>
      <w:pPr>
        <w:pStyle w:val="Heading1"/>
      </w:pPr>
      <w:r>
        <w:t>26. EOD Reconciliation</w:t>
      </w:r>
    </w:p>
    <w:p>
      <w:pPr>
        <w:pStyle w:val="ListNumber"/>
      </w:pPr>
      <w:r>
        <w:t>Freeze/close transaction intake according to policy.</w:t>
      </w:r>
    </w:p>
    <w:p>
      <w:pPr>
        <w:pStyle w:val="ListNumber"/>
      </w:pPr>
      <w:r>
        <w:t>Calculate system expected cash.</w:t>
      </w:r>
    </w:p>
    <w:p>
      <w:pPr>
        <w:pStyle w:val="ListNumber"/>
      </w:pPr>
      <w:r>
        <w:t>Enter physical cash count.</w:t>
      </w:r>
    </w:p>
    <w:p>
      <w:pPr>
        <w:pStyle w:val="ListNumber"/>
      </w:pPr>
      <w:r>
        <w:t>Compare expected vs physical.</w:t>
      </w:r>
    </w:p>
    <w:p>
      <w:pPr>
        <w:pStyle w:val="ListNumber"/>
      </w:pPr>
      <w:r>
        <w:t>Calculate variance.</w:t>
      </w:r>
    </w:p>
    <w:p>
      <w:pPr>
        <w:pStyle w:val="ListNumber"/>
      </w:pPr>
      <w:r>
        <w:t>Require reason/approval when threshold exceeded.</w:t>
      </w:r>
    </w:p>
    <w:p>
      <w:pPr>
        <w:pStyle w:val="ListNumber"/>
      </w:pPr>
      <w:r>
        <w:t>Post variance adjustment if authorized.</w:t>
      </w:r>
    </w:p>
    <w:p>
      <w:pPr>
        <w:pStyle w:val="ListNumber"/>
      </w:pPr>
      <w:r>
        <w:t>Close EOD session.</w:t>
      </w:r>
    </w:p>
    <w:p>
      <w:pPr>
        <w:pStyle w:val="ListNumber"/>
      </w:pPr>
      <w:r>
        <w:t>Generate EOD report and sync.</w:t>
      </w:r>
    </w:p>
    <w:p>
      <w:pPr>
        <w:pStyle w:val="Heading1"/>
      </w:pPr>
      <w:r>
        <w:t>27. Financial Year &amp; Document Series</w:t>
      </w:r>
    </w:p>
    <w:p>
      <w:pPr>
        <w:pStyle w:val="ListBullet"/>
      </w:pPr>
      <w:r>
        <w:t>Maintain explicit financial_year records.</w:t>
      </w:r>
    </w:p>
    <w:p>
      <w:pPr>
        <w:pStyle w:val="ListBullet"/>
      </w:pPr>
      <w:r>
        <w:t>Invoice/GRN/return/receipt series are configurable per tenant/document type.</w:t>
      </w:r>
    </w:p>
    <w:p>
      <w:pPr>
        <w:pStyle w:val="ListBullet"/>
      </w:pPr>
      <w:r>
        <w:t>Prevent duplicate document numbers through database constraints.</w:t>
      </w:r>
    </w:p>
    <w:p>
      <w:pPr>
        <w:pStyle w:val="ListBullet"/>
      </w:pPr>
      <w:r>
        <w:t>Do not derive document sequence from mobile device time.</w:t>
      </w:r>
    </w:p>
    <w:p>
      <w:pPr>
        <w:pStyle w:val="ListBullet"/>
      </w:pPr>
      <w:r>
        <w:t>Offline transactions may receive provisional local identity and server-authoritative document number on synchronization.</w:t>
      </w:r>
    </w:p>
    <w:p>
      <w:pPr>
        <w:pStyle w:val="Heading1"/>
      </w:pPr>
      <w:r>
        <w:t>28. Journal Posting Service</w:t>
      </w:r>
    </w:p>
    <w:p>
      <w:r>
        <w:t>All application modules call a centralized accounting posting service rather than inserting journal lines directly.</w:t>
      </w:r>
    </w:p>
    <w:p>
      <w:pPr>
        <w:pStyle w:val="ListBullet"/>
      </w:pPr>
      <w:r>
        <w:t>Validate source event.</w:t>
      </w:r>
    </w:p>
    <w:p>
      <w:pPr>
        <w:pStyle w:val="ListBullet"/>
      </w:pPr>
      <w:r>
        <w:t>Resolve account mapping.</w:t>
      </w:r>
    </w:p>
    <w:p>
      <w:pPr>
        <w:pStyle w:val="ListBullet"/>
      </w:pPr>
      <w:r>
        <w:t>Construct journal.</w:t>
      </w:r>
    </w:p>
    <w:p>
      <w:pPr>
        <w:pStyle w:val="ListBullet"/>
      </w:pPr>
      <w:r>
        <w:t>Verify debit = credit.</w:t>
      </w:r>
    </w:p>
    <w:p>
      <w:pPr>
        <w:pStyle w:val="ListBullet"/>
      </w:pPr>
      <w:r>
        <w:t>Attach source reference.</w:t>
      </w:r>
    </w:p>
    <w:p>
      <w:pPr>
        <w:pStyle w:val="ListBullet"/>
      </w:pPr>
      <w:r>
        <w:t>Persist journal header/lines in same transaction.</w:t>
      </w:r>
    </w:p>
    <w:p>
      <w:pPr>
        <w:pStyle w:val="ListBullet"/>
      </w:pPr>
      <w:r>
        <w:t>Return journal ID.</w:t>
      </w:r>
    </w:p>
    <w:p>
      <w:pPr>
        <w:pStyle w:val="Heading1"/>
      </w:pPr>
      <w:r>
        <w:t>29. Accounting Transaction Boundary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Operation</w:t>
            </w:r>
          </w:p>
        </w:tc>
        <w:tc>
          <w:tcPr>
            <w:tcW w:type="dxa" w:w="5040"/>
          </w:tcPr>
          <w:p>
            <w:r>
              <w:t>Atomic financial scope</w:t>
            </w:r>
          </w:p>
        </w:tc>
      </w:tr>
      <w:tr>
        <w:tc>
          <w:tcPr>
            <w:tcW w:type="dxa" w:w="5040"/>
          </w:tcPr>
          <w:p>
            <w:r>
              <w:t>Sale</w:t>
            </w:r>
          </w:p>
        </w:tc>
        <w:tc>
          <w:tcPr>
            <w:tcW w:type="dxa" w:w="5040"/>
          </w:tcPr>
          <w:p>
            <w:r>
              <w:t>Invoice + receivable/tender + tax + inventory cost/accounting</w:t>
            </w:r>
          </w:p>
        </w:tc>
      </w:tr>
      <w:tr>
        <w:tc>
          <w:tcPr>
            <w:tcW w:type="dxa" w:w="5040"/>
          </w:tcPr>
          <w:p>
            <w:r>
              <w:t>Receipt</w:t>
            </w:r>
          </w:p>
        </w:tc>
        <w:tc>
          <w:tcPr>
            <w:tcW w:type="dxa" w:w="5040"/>
          </w:tcPr>
          <w:p>
            <w:r>
              <w:t>Payment + allocations + customer ledger + journal</w:t>
            </w:r>
          </w:p>
        </w:tc>
      </w:tr>
      <w:tr>
        <w:tc>
          <w:tcPr>
            <w:tcW w:type="dxa" w:w="5040"/>
          </w:tcPr>
          <w:p>
            <w:r>
              <w:t>GRN</w:t>
            </w:r>
          </w:p>
        </w:tc>
        <w:tc>
          <w:tcPr>
            <w:tcW w:type="dxa" w:w="5040"/>
          </w:tcPr>
          <w:p>
            <w:r>
              <w:t>Inventory + supplier payable + journal</w:t>
            </w:r>
          </w:p>
        </w:tc>
      </w:tr>
      <w:tr>
        <w:tc>
          <w:tcPr>
            <w:tcW w:type="dxa" w:w="5040"/>
          </w:tcPr>
          <w:p>
            <w:r>
              <w:t>Supplier payment</w:t>
            </w:r>
          </w:p>
        </w:tc>
        <w:tc>
          <w:tcPr>
            <w:tcW w:type="dxa" w:w="5040"/>
          </w:tcPr>
          <w:p>
            <w:r>
              <w:t>Payment + supplier allocation + journal</w:t>
            </w:r>
          </w:p>
        </w:tc>
      </w:tr>
      <w:tr>
        <w:tc>
          <w:tcPr>
            <w:tcW w:type="dxa" w:w="5040"/>
          </w:tcPr>
          <w:p>
            <w:r>
              <w:t>Return</w:t>
            </w:r>
          </w:p>
        </w:tc>
        <w:tc>
          <w:tcPr>
            <w:tcW w:type="dxa" w:w="5040"/>
          </w:tcPr>
          <w:p>
            <w:r>
              <w:t>Return + inventory + receivable/refund + journal</w:t>
            </w:r>
          </w:p>
        </w:tc>
      </w:tr>
      <w:tr>
        <w:tc>
          <w:tcPr>
            <w:tcW w:type="dxa" w:w="5040"/>
          </w:tcPr>
          <w:p>
            <w:r>
              <w:t>Contra</w:t>
            </w:r>
          </w:p>
        </w:tc>
        <w:tc>
          <w:tcPr>
            <w:tcW w:type="dxa" w:w="5040"/>
          </w:tcPr>
          <w:p>
            <w:r>
              <w:t>Inventory + customer credit + journal</w:t>
            </w:r>
          </w:p>
        </w:tc>
      </w:tr>
      <w:tr>
        <w:tc>
          <w:tcPr>
            <w:tcW w:type="dxa" w:w="5040"/>
          </w:tcPr>
          <w:p>
            <w:r>
              <w:t>EOD variance</w:t>
            </w:r>
          </w:p>
        </w:tc>
        <w:tc>
          <w:tcPr>
            <w:tcW w:type="dxa" w:w="5040"/>
          </w:tcPr>
          <w:p>
            <w:r>
              <w:t>Cash session + variance posting</w:t>
            </w:r>
          </w:p>
        </w:tc>
      </w:tr>
      <w:tr>
        <w:tc>
          <w:tcPr>
            <w:tcW w:type="dxa" w:w="5040"/>
          </w:tcPr>
          <w:p>
            <w:r>
              <w:t>Adjustment</w:t>
            </w:r>
          </w:p>
        </w:tc>
        <w:tc>
          <w:tcPr>
            <w:tcW w:type="dxa" w:w="5040"/>
          </w:tcPr>
          <w:p>
            <w:r>
              <w:t>Source adjustment + journal where applicable</w:t>
            </w:r>
          </w:p>
        </w:tc>
      </w:tr>
    </w:tbl>
    <w:p>
      <w:pPr>
        <w:pStyle w:val="Heading1"/>
      </w:pPr>
      <w:r>
        <w:t>30. Reversal Architecture</w:t>
      </w:r>
    </w:p>
    <w:p>
      <w:pPr>
        <w:pStyle w:val="ListBullet"/>
      </w:pPr>
      <w:r>
        <w:t>Original posted event remains unchanged.</w:t>
      </w:r>
    </w:p>
    <w:p>
      <w:pPr>
        <w:pStyle w:val="ListBullet"/>
      </w:pPr>
      <w:r>
        <w:t>Create reversal referencing original event.</w:t>
      </w:r>
    </w:p>
    <w:p>
      <w:pPr>
        <w:pStyle w:val="ListBullet"/>
      </w:pPr>
      <w:r>
        <w:t>Reversal has its own journal/ledger/movement IDs.</w:t>
      </w:r>
    </w:p>
    <w:p>
      <w:pPr>
        <w:pStyle w:val="ListBullet"/>
      </w:pPr>
      <w:r>
        <w:t>Partial reversal records exact amount/quantity reversed.</w:t>
      </w:r>
    </w:p>
    <w:p>
      <w:pPr>
        <w:pStyle w:val="ListBullet"/>
      </w:pPr>
      <w:r>
        <w:t>Prevent reversing more than original available balance.</w:t>
      </w:r>
    </w:p>
    <w:p>
      <w:pPr>
        <w:pStyle w:val="ListBullet"/>
      </w:pPr>
      <w:r>
        <w:t>Repeated reversal request is idempotent.</w:t>
      </w:r>
    </w:p>
    <w:p>
      <w:pPr>
        <w:pStyle w:val="Heading1"/>
      </w:pPr>
      <w:r>
        <w:t>31. Audit Trail</w:t>
      </w:r>
    </w:p>
    <w:p>
      <w:pPr>
        <w:pStyle w:val="ListBullet"/>
      </w:pPr>
      <w:r>
        <w:t>Record actor, device, tenant, request ID, source document and timestamp.</w:t>
      </w:r>
    </w:p>
    <w:p>
      <w:pPr>
        <w:pStyle w:val="ListBullet"/>
      </w:pPr>
      <w:r>
        <w:t>Record overrides, adjustments, refunds, reversals and configuration changes.</w:t>
      </w:r>
    </w:p>
    <w:p>
      <w:pPr>
        <w:pStyle w:val="ListBullet"/>
      </w:pPr>
      <w:r>
        <w:t>Record before/after balances where useful.</w:t>
      </w:r>
    </w:p>
    <w:p>
      <w:pPr>
        <w:pStyle w:val="ListBullet"/>
      </w:pPr>
      <w:r>
        <w:t>Never store PIN/password/token values.</w:t>
      </w:r>
    </w:p>
    <w:p>
      <w:pPr>
        <w:pStyle w:val="ListBullet"/>
      </w:pPr>
      <w:r>
        <w:t>Audit history is append-only from the application perspective.</w:t>
      </w:r>
    </w:p>
    <w:p>
      <w:pPr>
        <w:pStyle w:val="Heading1"/>
      </w:pPr>
      <w:r>
        <w:t>32. Idempotency</w:t>
      </w:r>
    </w:p>
    <w:p>
      <w:pPr>
        <w:pStyle w:val="ListBullet"/>
      </w:pPr>
      <w:r>
        <w:t>Financial POST endpoints require Idempotency-Key.</w:t>
      </w:r>
    </w:p>
    <w:p>
      <w:pPr>
        <w:pStyle w:val="ListBullet"/>
      </w:pPr>
      <w:r>
        <w:t>Store request fingerprint and original response.</w:t>
      </w:r>
    </w:p>
    <w:p>
      <w:pPr>
        <w:pStyle w:val="ListBullet"/>
      </w:pPr>
      <w:r>
        <w:t>Same key/same request returns original result.</w:t>
      </w:r>
    </w:p>
    <w:p>
      <w:pPr>
        <w:pStyle w:val="ListBullet"/>
      </w:pPr>
      <w:r>
        <w:t>Same key/different request returns conflict.</w:t>
      </w:r>
    </w:p>
    <w:p>
      <w:pPr>
        <w:pStyle w:val="ListBullet"/>
      </w:pPr>
      <w:r>
        <w:t>Payment provider IDs are unique.</w:t>
      </w:r>
    </w:p>
    <w:p>
      <w:pPr>
        <w:pStyle w:val="ListBullet"/>
      </w:pPr>
      <w:r>
        <w:t>Webhook event IDs are unique.</w:t>
      </w:r>
    </w:p>
    <w:p>
      <w:pPr>
        <w:pStyle w:val="Heading1"/>
      </w:pPr>
      <w:r>
        <w:t>33. Offline Financial Transactions</w:t>
      </w:r>
    </w:p>
    <w:p>
      <w:pPr>
        <w:pStyle w:val="ListBullet"/>
      </w:pPr>
      <w:r>
        <w:t>Flutter creates immutable transaction envelope.</w:t>
      </w:r>
    </w:p>
    <w:p>
      <w:pPr>
        <w:pStyle w:val="ListBullet"/>
      </w:pPr>
      <w:r>
        <w:t>Local Khata/payment/invoice state is provisional.</w:t>
      </w:r>
    </w:p>
    <w:p>
      <w:pPr>
        <w:pStyle w:val="ListBullet"/>
      </w:pPr>
      <w:r>
        <w:t>Server validates financial policy at synchronization.</w:t>
      </w:r>
    </w:p>
    <w:p>
      <w:pPr>
        <w:pStyle w:val="ListBullet"/>
      </w:pPr>
      <w:r>
        <w:t>Accepted operation receives authoritative IDs/version.</w:t>
      </w:r>
    </w:p>
    <w:p>
      <w:pPr>
        <w:pStyle w:val="ListBullet"/>
      </w:pPr>
      <w:r>
        <w:t>Duplicate submission adopts original result.</w:t>
      </w:r>
    </w:p>
    <w:p>
      <w:pPr>
        <w:pStyle w:val="ListBullet"/>
      </w:pPr>
      <w:r>
        <w:t>Conflict preserves transaction and requires defined resolution.</w:t>
      </w:r>
    </w:p>
    <w:p>
      <w:pPr>
        <w:pStyle w:val="ListBullet"/>
      </w:pPr>
      <w:r>
        <w:t>Offline local journal projections must never be treated as a replacement for server accounting.</w:t>
      </w:r>
    </w:p>
    <w:p>
      <w:pPr>
        <w:pStyle w:val="Heading1"/>
      </w:pPr>
      <w:r>
        <w:t>34. Financial Sync Conflict Examples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Scenario</w:t>
            </w:r>
          </w:p>
        </w:tc>
        <w:tc>
          <w:tcPr>
            <w:tcW w:type="dxa" w:w="5040"/>
          </w:tcPr>
          <w:p>
            <w:r>
              <w:t>Resolution</w:t>
            </w:r>
          </w:p>
        </w:tc>
      </w:tr>
      <w:tr>
        <w:tc>
          <w:tcPr>
            <w:tcW w:type="dxa" w:w="5040"/>
          </w:tcPr>
          <w:p>
            <w:r>
              <w:t>Credit limit changed</w:t>
            </w:r>
          </w:p>
        </w:tc>
        <w:tc>
          <w:tcPr>
            <w:tcW w:type="dxa" w:w="5040"/>
          </w:tcPr>
          <w:p>
            <w:r>
              <w:t>Server evaluates current exposure</w:t>
            </w:r>
          </w:p>
        </w:tc>
      </w:tr>
      <w:tr>
        <w:tc>
          <w:tcPr>
            <w:tcW w:type="dxa" w:w="5040"/>
          </w:tcPr>
          <w:p>
            <w:r>
              <w:t>Invoice already posted</w:t>
            </w:r>
          </w:p>
        </w:tc>
        <w:tc>
          <w:tcPr>
            <w:tcW w:type="dxa" w:w="5040"/>
          </w:tcPr>
          <w:p>
            <w:r>
              <w:t>Return original server result</w:t>
            </w:r>
          </w:p>
        </w:tc>
      </w:tr>
      <w:tr>
        <w:tc>
          <w:tcPr>
            <w:tcW w:type="dxa" w:w="5040"/>
          </w:tcPr>
          <w:p>
            <w:r>
              <w:t>Receipt already allocated</w:t>
            </w:r>
          </w:p>
        </w:tc>
        <w:tc>
          <w:tcPr>
            <w:tcW w:type="dxa" w:w="5040"/>
          </w:tcPr>
          <w:p>
            <w:r>
              <w:t>Return existing allocation</w:t>
            </w:r>
          </w:p>
        </w:tc>
      </w:tr>
      <w:tr>
        <w:tc>
          <w:tcPr>
            <w:tcW w:type="dxa" w:w="5040"/>
          </w:tcPr>
          <w:p>
            <w:r>
              <w:t>Payment already refunded</w:t>
            </w:r>
          </w:p>
        </w:tc>
        <w:tc>
          <w:tcPr>
            <w:tcW w:type="dxa" w:w="5040"/>
          </w:tcPr>
          <w:p>
            <w:r>
              <w:t>Return authoritative refund state</w:t>
            </w:r>
          </w:p>
        </w:tc>
      </w:tr>
      <w:tr>
        <w:tc>
          <w:tcPr>
            <w:tcW w:type="dxa" w:w="5040"/>
          </w:tcPr>
          <w:p>
            <w:r>
              <w:t>Contra already posted</w:t>
            </w:r>
          </w:p>
        </w:tc>
        <w:tc>
          <w:tcPr>
            <w:tcW w:type="dxa" w:w="5040"/>
          </w:tcPr>
          <w:p>
            <w:r>
              <w:t>Deduplicate by idempotency</w:t>
            </w:r>
          </w:p>
        </w:tc>
      </w:tr>
      <w:tr>
        <w:tc>
          <w:tcPr>
            <w:tcW w:type="dxa" w:w="5040"/>
          </w:tcPr>
          <w:p>
            <w:r>
              <w:t>Document series collision</w:t>
            </w:r>
          </w:p>
        </w:tc>
        <w:tc>
          <w:tcPr>
            <w:tcW w:type="dxa" w:w="5040"/>
          </w:tcPr>
          <w:p>
            <w:r>
              <w:t>Server assigns authoritative number</w:t>
            </w:r>
          </w:p>
        </w:tc>
      </w:tr>
      <w:tr>
        <w:tc>
          <w:tcPr>
            <w:tcW w:type="dxa" w:w="5040"/>
          </w:tcPr>
          <w:p>
            <w:r>
              <w:t>Tax profile changed</w:t>
            </w:r>
          </w:p>
        </w:tc>
        <w:tc>
          <w:tcPr>
            <w:tcW w:type="dxa" w:w="5040"/>
          </w:tcPr>
          <w:p>
            <w:r>
              <w:t>Use documented offline policy/version</w:t>
            </w:r>
          </w:p>
        </w:tc>
      </w:tr>
    </w:tbl>
    <w:p>
      <w:pPr>
        <w:pStyle w:val="Heading1"/>
      </w:pPr>
      <w:r>
        <w:t>35. Customer Statement</w:t>
      </w:r>
    </w:p>
    <w:p>
      <w:pPr>
        <w:pStyle w:val="ListBullet"/>
      </w:pPr>
      <w:r>
        <w:t>Chronological ledger entries.</w:t>
      </w:r>
    </w:p>
    <w:p>
      <w:pPr>
        <w:pStyle w:val="ListBullet"/>
      </w:pPr>
      <w:r>
        <w:t>Opening balance where applicable.</w:t>
      </w:r>
    </w:p>
    <w:p>
      <w:pPr>
        <w:pStyle w:val="ListBullet"/>
      </w:pPr>
      <w:r>
        <w:t>Invoice debits.</w:t>
      </w:r>
    </w:p>
    <w:p>
      <w:pPr>
        <w:pStyle w:val="ListBullet"/>
      </w:pPr>
      <w:r>
        <w:t>Receipts.</w:t>
      </w:r>
    </w:p>
    <w:p>
      <w:pPr>
        <w:pStyle w:val="ListBullet"/>
      </w:pPr>
      <w:r>
        <w:t>Returns/credits.</w:t>
      </w:r>
    </w:p>
    <w:p>
      <w:pPr>
        <w:pStyle w:val="ListBullet"/>
      </w:pPr>
      <w:r>
        <w:t>Contra credits.</w:t>
      </w:r>
    </w:p>
    <w:p>
      <w:pPr>
        <w:pStyle w:val="ListBullet"/>
      </w:pPr>
      <w:r>
        <w:t>Adjustments/reversals.</w:t>
      </w:r>
    </w:p>
    <w:p>
      <w:pPr>
        <w:pStyle w:val="ListBullet"/>
      </w:pPr>
      <w:r>
        <w:t>Running balance.</w:t>
      </w:r>
    </w:p>
    <w:p>
      <w:pPr>
        <w:pStyle w:val="ListBullet"/>
      </w:pPr>
      <w:r>
        <w:t>Invoice/payment references.</w:t>
      </w:r>
    </w:p>
    <w:p>
      <w:pPr>
        <w:pStyle w:val="ListBullet"/>
      </w:pPr>
      <w:r>
        <w:t>Exportable statement.</w:t>
      </w:r>
    </w:p>
    <w:p>
      <w:pPr>
        <w:pStyle w:val="Heading1"/>
      </w:pPr>
      <w:r>
        <w:t>36. Supplier Statement</w:t>
      </w:r>
    </w:p>
    <w:p>
      <w:pPr>
        <w:pStyle w:val="ListBullet"/>
      </w:pPr>
      <w:r>
        <w:t>Opening payable.</w:t>
      </w:r>
    </w:p>
    <w:p>
      <w:pPr>
        <w:pStyle w:val="ListBullet"/>
      </w:pPr>
      <w:r>
        <w:t>GRNs/purchases.</w:t>
      </w:r>
    </w:p>
    <w:p>
      <w:pPr>
        <w:pStyle w:val="ListBullet"/>
      </w:pPr>
      <w:r>
        <w:t>Purchase returns.</w:t>
      </w:r>
    </w:p>
    <w:p>
      <w:pPr>
        <w:pStyle w:val="ListBullet"/>
      </w:pPr>
      <w:r>
        <w:t>Supplier payments.</w:t>
      </w:r>
    </w:p>
    <w:p>
      <w:pPr>
        <w:pStyle w:val="ListBullet"/>
      </w:pPr>
      <w:r>
        <w:t>Debit/credit adjustments.</w:t>
      </w:r>
    </w:p>
    <w:p>
      <w:pPr>
        <w:pStyle w:val="ListBullet"/>
      </w:pPr>
      <w:r>
        <w:t>Running balance.</w:t>
      </w:r>
    </w:p>
    <w:p>
      <w:pPr>
        <w:pStyle w:val="ListBullet"/>
      </w:pPr>
      <w:r>
        <w:t>Outstanding aging.</w:t>
      </w:r>
    </w:p>
    <w:p>
      <w:pPr>
        <w:pStyle w:val="Heading1"/>
      </w:pPr>
      <w:r>
        <w:t>37. Aging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Bucket</w:t>
            </w:r>
          </w:p>
        </w:tc>
        <w:tc>
          <w:tcPr>
            <w:tcW w:type="dxa" w:w="5040"/>
          </w:tcPr>
          <w:p>
            <w:r>
              <w:t>Typical use</w:t>
            </w:r>
          </w:p>
        </w:tc>
      </w:tr>
      <w:tr>
        <w:tc>
          <w:tcPr>
            <w:tcW w:type="dxa" w:w="5040"/>
          </w:tcPr>
          <w:p>
            <w:r>
              <w:t>Current</w:t>
            </w:r>
          </w:p>
        </w:tc>
        <w:tc>
          <w:tcPr>
            <w:tcW w:type="dxa" w:w="5040"/>
          </w:tcPr>
          <w:p>
            <w:r>
              <w:t>Not overdue</w:t>
            </w:r>
          </w:p>
        </w:tc>
      </w:tr>
      <w:tr>
        <w:tc>
          <w:tcPr>
            <w:tcW w:type="dxa" w:w="5040"/>
          </w:tcPr>
          <w:p>
            <w:r>
              <w:t>1–7 days</w:t>
            </w:r>
          </w:p>
        </w:tc>
        <w:tc>
          <w:tcPr>
            <w:tcW w:type="dxa" w:w="5040"/>
          </w:tcPr>
          <w:p>
            <w:r>
              <w:t>Early overdue</w:t>
            </w:r>
          </w:p>
        </w:tc>
      </w:tr>
      <w:tr>
        <w:tc>
          <w:tcPr>
            <w:tcW w:type="dxa" w:w="5040"/>
          </w:tcPr>
          <w:p>
            <w:r>
              <w:t>8–30 days</w:t>
            </w:r>
          </w:p>
        </w:tc>
        <w:tc>
          <w:tcPr>
            <w:tcW w:type="dxa" w:w="5040"/>
          </w:tcPr>
          <w:p>
            <w:r>
              <w:t>Moderate overdue</w:t>
            </w:r>
          </w:p>
        </w:tc>
      </w:tr>
      <w:tr>
        <w:tc>
          <w:tcPr>
            <w:tcW w:type="dxa" w:w="5040"/>
          </w:tcPr>
          <w:p>
            <w:r>
              <w:t>31–60 days</w:t>
            </w:r>
          </w:p>
        </w:tc>
        <w:tc>
          <w:tcPr>
            <w:tcW w:type="dxa" w:w="5040"/>
          </w:tcPr>
          <w:p>
            <w:r>
              <w:t>High attention</w:t>
            </w:r>
          </w:p>
        </w:tc>
      </w:tr>
      <w:tr>
        <w:tc>
          <w:tcPr>
            <w:tcW w:type="dxa" w:w="5040"/>
          </w:tcPr>
          <w:p>
            <w:r>
              <w:t>61–90 days</w:t>
            </w:r>
          </w:p>
        </w:tc>
        <w:tc>
          <w:tcPr>
            <w:tcW w:type="dxa" w:w="5040"/>
          </w:tcPr>
          <w:p>
            <w:r>
              <w:t>Escalation</w:t>
            </w:r>
          </w:p>
        </w:tc>
      </w:tr>
      <w:tr>
        <w:tc>
          <w:tcPr>
            <w:tcW w:type="dxa" w:w="5040"/>
          </w:tcPr>
          <w:p>
            <w:r>
              <w:t>90+ days</w:t>
            </w:r>
          </w:p>
        </w:tc>
        <w:tc>
          <w:tcPr>
            <w:tcW w:type="dxa" w:w="5040"/>
          </w:tcPr>
          <w:p>
            <w:r>
              <w:t>Critical collection</w:t>
            </w:r>
          </w:p>
        </w:tc>
      </w:tr>
    </w:tbl>
    <w:p>
      <w:r>
        <w:t>Aging buckets are configurable and must use tenant-local business dates.</w:t>
      </w:r>
    </w:p>
    <w:p>
      <w:pPr>
        <w:pStyle w:val="Heading1"/>
      </w:pPr>
      <w:r>
        <w:t>38. Collection Grace Period</w:t>
      </w:r>
    </w:p>
    <w:p>
      <w:pPr>
        <w:pStyle w:val="ListBullet"/>
      </w:pPr>
      <w:r>
        <w:t>Tenant config defines due/cycle date.</w:t>
      </w:r>
    </w:p>
    <w:p>
      <w:pPr>
        <w:pStyle w:val="ListBullet"/>
      </w:pPr>
      <w:r>
        <w:t>Grace days are configurable.</w:t>
      </w:r>
    </w:p>
    <w:p>
      <w:pPr>
        <w:pStyle w:val="ListBullet"/>
      </w:pPr>
      <w:r>
        <w:t>Reminder lead days are configurable.</w:t>
      </w:r>
    </w:p>
    <w:p>
      <w:pPr>
        <w:pStyle w:val="ListBullet"/>
      </w:pPr>
      <w:r>
        <w:t>Pause dates can suppress reminders.</w:t>
      </w:r>
    </w:p>
    <w:p>
      <w:pPr>
        <w:pStyle w:val="ListBullet"/>
      </w:pPr>
      <w:r>
        <w:t>Duplicate reminders are prevented.</w:t>
      </w:r>
    </w:p>
    <w:p>
      <w:pPr>
        <w:pStyle w:val="ListBullet"/>
      </w:pPr>
      <w:r>
        <w:t>Collection status is separate from financial ledger.</w:t>
      </w:r>
    </w:p>
    <w:p>
      <w:pPr>
        <w:pStyle w:val="Heading1"/>
      </w:pPr>
      <w:r>
        <w:t>39. Aavin / Collection Cycle</w:t>
      </w:r>
    </w:p>
    <w:p>
      <w:pPr>
        <w:pStyle w:val="ListBullet"/>
      </w:pPr>
      <w:r>
        <w:t>Cycle dates such as 9th/24th may be seeded as defaults but must remain configurable.</w:t>
      </w:r>
    </w:p>
    <w:p>
      <w:pPr>
        <w:pStyle w:val="ListBullet"/>
      </w:pPr>
      <w:r>
        <w:t>Tenant may change cycle dates.</w:t>
      </w:r>
    </w:p>
    <w:p>
      <w:pPr>
        <w:pStyle w:val="ListBullet"/>
      </w:pPr>
      <w:r>
        <w:t>Grace period and reminder schedule are configurable.</w:t>
      </w:r>
    </w:p>
    <w:p>
      <w:pPr>
        <w:pStyle w:val="ListBullet"/>
      </w:pPr>
      <w:r>
        <w:t>Pause dates support holidays/business exceptions.</w:t>
      </w:r>
    </w:p>
    <w:p>
      <w:pPr>
        <w:pStyle w:val="ListBullet"/>
      </w:pPr>
      <w:r>
        <w:t>Cycle reminders never alter ledger balances.</w:t>
      </w:r>
    </w:p>
    <w:p>
      <w:pPr>
        <w:pStyle w:val="Heading1"/>
      </w:pPr>
      <w:r>
        <w:t>40. Payment Reconciliation</w:t>
      </w:r>
    </w:p>
    <w:p>
      <w:pPr>
        <w:pStyle w:val="ListBullet"/>
      </w:pPr>
      <w:r>
        <w:t>Match provider transaction ID.</w:t>
      </w:r>
    </w:p>
    <w:p>
      <w:pPr>
        <w:pStyle w:val="ListBullet"/>
      </w:pPr>
      <w:r>
        <w:t>Match payment intent.</w:t>
      </w:r>
    </w:p>
    <w:p>
      <w:pPr>
        <w:pStyle w:val="ListBullet"/>
      </w:pPr>
      <w:r>
        <w:t>Match amount/currency.</w:t>
      </w:r>
    </w:p>
    <w:p>
      <w:pPr>
        <w:pStyle w:val="ListBullet"/>
      </w:pPr>
      <w:r>
        <w:t>Match tenant/merchant context.</w:t>
      </w:r>
    </w:p>
    <w:p>
      <w:pPr>
        <w:pStyle w:val="ListBullet"/>
      </w:pPr>
      <w:r>
        <w:t>Reject or quarantine mismatches.</w:t>
      </w:r>
    </w:p>
    <w:p>
      <w:pPr>
        <w:pStyle w:val="ListBullet"/>
      </w:pPr>
      <w:r>
        <w:t>Record reconciliation status.</w:t>
      </w:r>
    </w:p>
    <w:p>
      <w:pPr>
        <w:pStyle w:val="ListBullet"/>
      </w:pPr>
      <w:r>
        <w:t>Provide manual exception workflow with audit.</w:t>
      </w:r>
    </w:p>
    <w:p>
      <w:pPr>
        <w:pStyle w:val="Heading1"/>
      </w:pPr>
      <w:r>
        <w:t>41. Bank/UPI Reconciliation</w:t>
      </w:r>
    </w:p>
    <w:p>
      <w:pPr>
        <w:pStyle w:val="ListNumber"/>
      </w:pPr>
      <w:r>
        <w:t>Import provider/bank settlement data where supported.</w:t>
      </w:r>
    </w:p>
    <w:p>
      <w:pPr>
        <w:pStyle w:val="ListNumber"/>
      </w:pPr>
      <w:r>
        <w:t>Match internal payment IDs.</w:t>
      </w:r>
    </w:p>
    <w:p>
      <w:pPr>
        <w:pStyle w:val="ListNumber"/>
      </w:pPr>
      <w:r>
        <w:t>Match amount/date/reference.</w:t>
      </w:r>
    </w:p>
    <w:p>
      <w:pPr>
        <w:pStyle w:val="ListNumber"/>
      </w:pPr>
      <w:r>
        <w:t>Mark matched.</w:t>
      </w:r>
    </w:p>
    <w:p>
      <w:pPr>
        <w:pStyle w:val="ListNumber"/>
      </w:pPr>
      <w:r>
        <w:t>Identify missing internal payment.</w:t>
      </w:r>
    </w:p>
    <w:p>
      <w:pPr>
        <w:pStyle w:val="ListNumber"/>
      </w:pPr>
      <w:r>
        <w:t>Identify missing provider settlement.</w:t>
      </w:r>
    </w:p>
    <w:p>
      <w:pPr>
        <w:pStyle w:val="ListNumber"/>
      </w:pPr>
      <w:r>
        <w:t>Create exception case.</w:t>
      </w:r>
    </w:p>
    <w:p>
      <w:pPr>
        <w:pStyle w:val="ListNumber"/>
      </w:pPr>
      <w:r>
        <w:t>Resolve through controlled adjustment/reversal.</w:t>
      </w:r>
    </w:p>
    <w:p>
      <w:pPr>
        <w:pStyle w:val="Heading1"/>
      </w:pPr>
      <w:r>
        <w:t>42. Financial Integrity Checks</w:t>
      </w:r>
    </w:p>
    <w:p>
      <w:pPr>
        <w:pStyle w:val="ListBullet"/>
      </w:pPr>
      <w:r>
        <w:t>Every journal balances.</w:t>
      </w:r>
    </w:p>
    <w:p>
      <w:pPr>
        <w:pStyle w:val="ListBullet"/>
      </w:pPr>
      <w:r>
        <w:t>Every payment allocation is within payment and invoice limits.</w:t>
      </w:r>
    </w:p>
    <w:p>
      <w:pPr>
        <w:pStyle w:val="ListBullet"/>
      </w:pPr>
      <w:r>
        <w:t>Customer ledger equals sum of applicable source postings.</w:t>
      </w:r>
    </w:p>
    <w:p>
      <w:pPr>
        <w:pStyle w:val="ListBullet"/>
      </w:pPr>
      <w:r>
        <w:t>Supplier ledger reconciles to payable postings.</w:t>
      </w:r>
    </w:p>
    <w:p>
      <w:pPr>
        <w:pStyle w:val="ListBullet"/>
      </w:pPr>
      <w:r>
        <w:t>Cash expected amount matches cash movements.</w:t>
      </w:r>
    </w:p>
    <w:p>
      <w:pPr>
        <w:pStyle w:val="ListBullet"/>
      </w:pPr>
      <w:r>
        <w:t>Invoice totals equal line/tax/discount totals.</w:t>
      </w:r>
    </w:p>
    <w:p>
      <w:pPr>
        <w:pStyle w:val="ListBullet"/>
      </w:pPr>
      <w:r>
        <w:t>Returns cannot exceed returnable quantity/value.</w:t>
      </w:r>
    </w:p>
    <w:p>
      <w:pPr>
        <w:pStyle w:val="ListBullet"/>
      </w:pPr>
      <w:r>
        <w:t>Reversals cannot exceed original posted effect.</w:t>
      </w:r>
    </w:p>
    <w:p>
      <w:pPr>
        <w:pStyle w:val="ListBullet"/>
      </w:pPr>
      <w:r>
        <w:t>No duplicate idempotency effect.</w:t>
      </w:r>
    </w:p>
    <w:p>
      <w:pPr>
        <w:pStyle w:val="Heading1"/>
      </w:pPr>
      <w:r>
        <w:t>43. Reconciliation Dashboard</w:t>
      </w:r>
    </w:p>
    <w:p>
      <w:pPr>
        <w:pStyle w:val="ListBullet"/>
      </w:pPr>
      <w:r>
        <w:t>Unallocated payments.</w:t>
      </w:r>
    </w:p>
    <w:p>
      <w:pPr>
        <w:pStyle w:val="ListBullet"/>
      </w:pPr>
      <w:r>
        <w:t>Payment/provider mismatches.</w:t>
      </w:r>
    </w:p>
    <w:p>
      <w:pPr>
        <w:pStyle w:val="ListBullet"/>
      </w:pPr>
      <w:r>
        <w:t>Khata balance exceptions.</w:t>
      </w:r>
    </w:p>
    <w:p>
      <w:pPr>
        <w:pStyle w:val="ListBullet"/>
      </w:pPr>
      <w:r>
        <w:t>Supplier payable exceptions.</w:t>
      </w:r>
    </w:p>
    <w:p>
      <w:pPr>
        <w:pStyle w:val="ListBullet"/>
      </w:pPr>
      <w:r>
        <w:t>Unbalanced journal attempts.</w:t>
      </w:r>
    </w:p>
    <w:p>
      <w:pPr>
        <w:pStyle w:val="ListBullet"/>
      </w:pPr>
      <w:r>
        <w:t>Inventory/accounting valuation mismatch.</w:t>
      </w:r>
    </w:p>
    <w:p>
      <w:pPr>
        <w:pStyle w:val="ListBullet"/>
      </w:pPr>
      <w:r>
        <w:t>EOD cash variances.</w:t>
      </w:r>
    </w:p>
    <w:p>
      <w:pPr>
        <w:pStyle w:val="ListBullet"/>
      </w:pPr>
      <w:r>
        <w:t>Pending refunds.</w:t>
      </w:r>
    </w:p>
    <w:p>
      <w:pPr>
        <w:pStyle w:val="ListBullet"/>
      </w:pPr>
      <w:r>
        <w:t>Pending offline financial transactions.</w:t>
      </w:r>
    </w:p>
    <w:p>
      <w:pPr>
        <w:pStyle w:val="Heading1"/>
      </w:pPr>
      <w:r>
        <w:t>44. Credit Approval 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Condition</w:t>
            </w:r>
          </w:p>
        </w:tc>
        <w:tc>
          <w:tcPr>
            <w:tcW w:type="dxa" w:w="5040"/>
          </w:tcPr>
          <w:p>
            <w:r>
              <w:t>Control</w:t>
            </w:r>
          </w:p>
        </w:tc>
      </w:tr>
      <w:tr>
        <w:tc>
          <w:tcPr>
            <w:tcW w:type="dxa" w:w="5040"/>
          </w:tcPr>
          <w:p>
            <w:r>
              <w:t>Within limit</w:t>
            </w:r>
          </w:p>
        </w:tc>
        <w:tc>
          <w:tcPr>
            <w:tcW w:type="dxa" w:w="5040"/>
          </w:tcPr>
          <w:p>
            <w:r>
              <w:t>Normal authorization</w:t>
            </w:r>
          </w:p>
        </w:tc>
      </w:tr>
      <w:tr>
        <w:tc>
          <w:tcPr>
            <w:tcW w:type="dxa" w:w="5040"/>
          </w:tcPr>
          <w:p>
            <w:r>
              <w:t>Near limit</w:t>
            </w:r>
          </w:p>
        </w:tc>
        <w:tc>
          <w:tcPr>
            <w:tcW w:type="dxa" w:w="5040"/>
          </w:tcPr>
          <w:p>
            <w:r>
              <w:t>Warning</w:t>
            </w:r>
          </w:p>
        </w:tc>
      </w:tr>
      <w:tr>
        <w:tc>
          <w:tcPr>
            <w:tcW w:type="dxa" w:w="5040"/>
          </w:tcPr>
          <w:p>
            <w:r>
              <w:t>Over limit</w:t>
            </w:r>
          </w:p>
        </w:tc>
        <w:tc>
          <w:tcPr>
            <w:tcW w:type="dxa" w:w="5040"/>
          </w:tcPr>
          <w:p>
            <w:r>
              <w:t>Reject or owner override</w:t>
            </w:r>
          </w:p>
        </w:tc>
      </w:tr>
      <w:tr>
        <w:tc>
          <w:tcPr>
            <w:tcW w:type="dxa" w:w="5040"/>
          </w:tcPr>
          <w:p>
            <w:r>
              <w:t>Large amount</w:t>
            </w:r>
          </w:p>
        </w:tc>
        <w:tc>
          <w:tcPr>
            <w:tcW w:type="dxa" w:w="5040"/>
          </w:tcPr>
          <w:p>
            <w:r>
              <w:t>Elevated approval if configured</w:t>
            </w:r>
          </w:p>
        </w:tc>
      </w:tr>
      <w:tr>
        <w:tc>
          <w:tcPr>
            <w:tcW w:type="dxa" w:w="5040"/>
          </w:tcPr>
          <w:p>
            <w:r>
              <w:t>Past due</w:t>
            </w:r>
          </w:p>
        </w:tc>
        <w:tc>
          <w:tcPr>
            <w:tcW w:type="dxa" w:w="5040"/>
          </w:tcPr>
          <w:p>
            <w:r>
              <w:t>Policy-specific restriction</w:t>
            </w:r>
          </w:p>
        </w:tc>
      </w:tr>
      <w:tr>
        <w:tc>
          <w:tcPr>
            <w:tcW w:type="dxa" w:w="5040"/>
          </w:tcPr>
          <w:p>
            <w:r>
              <w:t>Suspicious/manual override</w:t>
            </w:r>
          </w:p>
        </w:tc>
        <w:tc>
          <w:tcPr>
            <w:tcW w:type="dxa" w:w="5040"/>
          </w:tcPr>
          <w:p>
            <w:r>
              <w:t>Audit + possible second approval</w:t>
            </w:r>
          </w:p>
        </w:tc>
      </w:tr>
    </w:tbl>
    <w:p>
      <w:pPr>
        <w:pStyle w:val="Heading1"/>
      </w:pPr>
      <w:r>
        <w:t>45. Discounts</w:t>
      </w:r>
    </w:p>
    <w:p>
      <w:pPr>
        <w:pStyle w:val="ListBullet"/>
      </w:pPr>
      <w:r>
        <w:t>Discounts are explicit invoice fields/lines as configured.</w:t>
      </w:r>
    </w:p>
    <w:p>
      <w:pPr>
        <w:pStyle w:val="ListBullet"/>
      </w:pPr>
      <w:r>
        <w:t>Discount permission may depend on role/customer tier.</w:t>
      </w:r>
    </w:p>
    <w:p>
      <w:pPr>
        <w:pStyle w:val="ListBullet"/>
      </w:pPr>
      <w:r>
        <w:t>Discount cannot bypass minimum margin policy if enabled.</w:t>
      </w:r>
    </w:p>
    <w:p>
      <w:pPr>
        <w:pStyle w:val="ListBullet"/>
      </w:pPr>
      <w:r>
        <w:t>Historical discount remains immutable.</w:t>
      </w:r>
    </w:p>
    <w:p>
      <w:pPr>
        <w:pStyle w:val="ListBullet"/>
      </w:pPr>
      <w:r>
        <w:t>Discount accounting treatment is documented.</w:t>
      </w:r>
    </w:p>
    <w:p>
      <w:pPr>
        <w:pStyle w:val="Heading1"/>
      </w:pPr>
      <w:r>
        <w:t>46. Customer Pricing Tier Interaction</w:t>
      </w:r>
    </w:p>
    <w:p>
      <w:pPr>
        <w:pStyle w:val="ListBullet"/>
      </w:pPr>
      <w:r>
        <w:t>Walk-In MRP uses active price list.</w:t>
      </w:r>
    </w:p>
    <w:p>
      <w:pPr>
        <w:pStyle w:val="ListBullet"/>
      </w:pPr>
      <w:r>
        <w:t>Registered Farmer 2% discount is a configurable example, not hardcoded business logic.</w:t>
      </w:r>
    </w:p>
    <w:p>
      <w:pPr>
        <w:pStyle w:val="ListBullet"/>
      </w:pPr>
      <w:r>
        <w:t>Wholesale Dealer 5% discount is configurable.</w:t>
      </w:r>
    </w:p>
    <w:p>
      <w:pPr>
        <w:pStyle w:val="ListBullet"/>
      </w:pPr>
      <w:r>
        <w:t>Aavin Sub-Contractor pricing is configurable.</w:t>
      </w:r>
    </w:p>
    <w:p>
      <w:pPr>
        <w:pStyle w:val="ListBullet"/>
      </w:pPr>
      <w:r>
        <w:t>Effective dates prevent historical price changes.</w:t>
      </w:r>
    </w:p>
    <w:p>
      <w:pPr>
        <w:pStyle w:val="ListBullet"/>
      </w:pPr>
      <w:r>
        <w:t>Tier changes do not rewrite finalized invoices.</w:t>
      </w:r>
    </w:p>
    <w:p>
      <w:pPr>
        <w:pStyle w:val="Heading1"/>
      </w:pPr>
      <w:r>
        <w:t>47. Credit Notes / Adjustments</w:t>
      </w:r>
    </w:p>
    <w:p>
      <w:pPr>
        <w:pStyle w:val="ListBullet"/>
      </w:pPr>
      <w:r>
        <w:t>Use explicit credit/debit adjustment documents.</w:t>
      </w:r>
    </w:p>
    <w:p>
      <w:pPr>
        <w:pStyle w:val="ListBullet"/>
      </w:pPr>
      <w:r>
        <w:t>Require reason.</w:t>
      </w:r>
    </w:p>
    <w:p>
      <w:pPr>
        <w:pStyle w:val="ListBullet"/>
      </w:pPr>
      <w:r>
        <w:t>Require permission.</w:t>
      </w:r>
    </w:p>
    <w:p>
      <w:pPr>
        <w:pStyle w:val="ListBullet"/>
      </w:pPr>
      <w:r>
        <w:t>Link to original invoice when relevant.</w:t>
      </w:r>
    </w:p>
    <w:p>
      <w:pPr>
        <w:pStyle w:val="ListBullet"/>
      </w:pPr>
      <w:r>
        <w:t>Post corresponding customer ledger and accounting effects.</w:t>
      </w:r>
    </w:p>
    <w:p>
      <w:pPr>
        <w:pStyle w:val="ListBullet"/>
      </w:pPr>
      <w:r>
        <w:t>Never directly edit outstanding balance.</w:t>
      </w:r>
    </w:p>
    <w:p>
      <w:pPr>
        <w:pStyle w:val="Heading1"/>
      </w:pPr>
      <w:r>
        <w:t>48. Supplier Payment</w:t>
      </w:r>
    </w:p>
    <w:p>
      <w:pPr>
        <w:pStyle w:val="ListNumber"/>
      </w:pPr>
      <w:r>
        <w:t>Select supplier.</w:t>
      </w:r>
    </w:p>
    <w:p>
      <w:pPr>
        <w:pStyle w:val="ListNumber"/>
      </w:pPr>
      <w:r>
        <w:t>Load payable exposure.</w:t>
      </w:r>
    </w:p>
    <w:p>
      <w:pPr>
        <w:pStyle w:val="ListNumber"/>
      </w:pPr>
      <w:r>
        <w:t>Enter payment amount/tender.</w:t>
      </w:r>
    </w:p>
    <w:p>
      <w:pPr>
        <w:pStyle w:val="ListNumber"/>
      </w:pPr>
      <w:r>
        <w:t>Allocate against outstanding supplier invoices.</w:t>
      </w:r>
    </w:p>
    <w:p>
      <w:pPr>
        <w:pStyle w:val="ListNumber"/>
      </w:pPr>
      <w:r>
        <w:t>Validate not over-allocating without explicit unapplied policy.</w:t>
      </w:r>
    </w:p>
    <w:p>
      <w:pPr>
        <w:pStyle w:val="ListNumber"/>
      </w:pPr>
      <w:r>
        <w:t>Post supplier ledger reduction.</w:t>
      </w:r>
    </w:p>
    <w:p>
      <w:pPr>
        <w:pStyle w:val="ListNumber"/>
      </w:pPr>
      <w:r>
        <w:t>Post accounting journal.</w:t>
      </w:r>
    </w:p>
    <w:p>
      <w:pPr>
        <w:pStyle w:val="ListNumber"/>
      </w:pPr>
      <w:r>
        <w:t>Commit.</w:t>
      </w:r>
    </w:p>
    <w:p>
      <w:pPr>
        <w:pStyle w:val="ListNumber"/>
      </w:pPr>
      <w:r>
        <w:t>Generate payment voucher.</w:t>
      </w:r>
    </w:p>
    <w:p>
      <w:pPr>
        <w:pStyle w:val="Heading1"/>
      </w:pPr>
      <w:r>
        <w:t>49. Cash Payout</w:t>
      </w:r>
    </w:p>
    <w:p>
      <w:pPr>
        <w:pStyle w:val="ListBullet"/>
      </w:pPr>
      <w:r>
        <w:t>Requires reason/category.</w:t>
      </w:r>
    </w:p>
    <w:p>
      <w:pPr>
        <w:pStyle w:val="ListBullet"/>
      </w:pPr>
      <w:r>
        <w:t>Permission according to policy.</w:t>
      </w:r>
    </w:p>
    <w:p>
      <w:pPr>
        <w:pStyle w:val="ListBullet"/>
      </w:pPr>
      <w:r>
        <w:t>Creates cash movement.</w:t>
      </w:r>
    </w:p>
    <w:p>
      <w:pPr>
        <w:pStyle w:val="ListBullet"/>
      </w:pPr>
      <w:r>
        <w:t>Creates expense/payable posting where appropriate.</w:t>
      </w:r>
    </w:p>
    <w:p>
      <w:pPr>
        <w:pStyle w:val="ListBullet"/>
      </w:pPr>
      <w:r>
        <w:t>Included in expected cash calculation.</w:t>
      </w:r>
    </w:p>
    <w:p>
      <w:pPr>
        <w:pStyle w:val="ListBullet"/>
      </w:pPr>
      <w:r>
        <w:t>Cannot be deleted after EOD; correction uses reversal.</w:t>
      </w:r>
    </w:p>
    <w:p>
      <w:pPr>
        <w:pStyle w:val="Heading1"/>
      </w:pPr>
      <w:r>
        <w:t>50. EOD Variance Accounting</w:t>
      </w:r>
    </w:p>
    <w:p>
      <w:pPr>
        <w:pStyle w:val="ListBullet"/>
      </w:pPr>
      <w:r>
        <w:t>Variance within tolerance may be recorded as configured.</w:t>
      </w:r>
    </w:p>
    <w:p>
      <w:pPr>
        <w:pStyle w:val="ListBullet"/>
      </w:pPr>
      <w:r>
        <w:t>Variance above threshold requires approval.</w:t>
      </w:r>
    </w:p>
    <w:p>
      <w:pPr>
        <w:pStyle w:val="ListBullet"/>
      </w:pPr>
      <w:r>
        <w:t>Shortage/overage account is configurable.</w:t>
      </w:r>
    </w:p>
    <w:p>
      <w:pPr>
        <w:pStyle w:val="ListBullet"/>
      </w:pPr>
      <w:r>
        <w:t>Reason is mandatory.</w:t>
      </w:r>
    </w:p>
    <w:p>
      <w:pPr>
        <w:pStyle w:val="ListBullet"/>
      </w:pPr>
      <w:r>
        <w:t>Physical count is preserved.</w:t>
      </w:r>
    </w:p>
    <w:p>
      <w:pPr>
        <w:pStyle w:val="ListBullet"/>
      </w:pPr>
      <w:r>
        <w:t>Posting is immutable.</w:t>
      </w:r>
    </w:p>
    <w:p>
      <w:pPr>
        <w:pStyle w:val="Heading1"/>
      </w:pPr>
      <w:r>
        <w:t>51. Financial Reports</w:t>
      </w:r>
    </w:p>
    <w:p>
      <w:pPr>
        <w:pStyle w:val="ListBullet"/>
      </w:pPr>
      <w:r>
        <w:t>Daily sales summary.</w:t>
      </w:r>
    </w:p>
    <w:p>
      <w:pPr>
        <w:pStyle w:val="ListBullet"/>
      </w:pPr>
      <w:r>
        <w:t>Cash/UPI/Khata tender summary.</w:t>
      </w:r>
    </w:p>
    <w:p>
      <w:pPr>
        <w:pStyle w:val="ListBullet"/>
      </w:pPr>
      <w:r>
        <w:t>Customer outstanding.</w:t>
      </w:r>
    </w:p>
    <w:p>
      <w:pPr>
        <w:pStyle w:val="ListBullet"/>
      </w:pPr>
      <w:r>
        <w:t>Customer statement.</w:t>
      </w:r>
    </w:p>
    <w:p>
      <w:pPr>
        <w:pStyle w:val="ListBullet"/>
      </w:pPr>
      <w:r>
        <w:t>Supplier outstanding.</w:t>
      </w:r>
    </w:p>
    <w:p>
      <w:pPr>
        <w:pStyle w:val="ListBullet"/>
      </w:pPr>
      <w:r>
        <w:t>Supplier statement.</w:t>
      </w:r>
    </w:p>
    <w:p>
      <w:pPr>
        <w:pStyle w:val="ListBullet"/>
      </w:pPr>
      <w:r>
        <w:t>Receipts.</w:t>
      </w:r>
    </w:p>
    <w:p>
      <w:pPr>
        <w:pStyle w:val="ListBullet"/>
      </w:pPr>
      <w:r>
        <w:t>Refunds.</w:t>
      </w:r>
    </w:p>
    <w:p>
      <w:pPr>
        <w:pStyle w:val="ListBullet"/>
      </w:pPr>
      <w:r>
        <w:t>Contra purchases.</w:t>
      </w:r>
    </w:p>
    <w:p>
      <w:pPr>
        <w:pStyle w:val="ListBullet"/>
      </w:pPr>
      <w:r>
        <w:t>Gross margin.</w:t>
      </w:r>
    </w:p>
    <w:p>
      <w:pPr>
        <w:pStyle w:val="ListBullet"/>
      </w:pPr>
      <w:r>
        <w:t>Tax/GST summary.</w:t>
      </w:r>
    </w:p>
    <w:p>
      <w:pPr>
        <w:pStyle w:val="ListBullet"/>
      </w:pPr>
      <w:r>
        <w:t>EOD reconciliation.</w:t>
      </w:r>
    </w:p>
    <w:p>
      <w:pPr>
        <w:pStyle w:val="ListBullet"/>
      </w:pPr>
      <w:r>
        <w:t>Journal/ledger report.</w:t>
      </w:r>
    </w:p>
    <w:p>
      <w:pPr>
        <w:pStyle w:val="ListBullet"/>
      </w:pPr>
      <w:r>
        <w:t>Payment reconciliation.</w:t>
      </w:r>
    </w:p>
    <w:p>
      <w:pPr>
        <w:pStyle w:val="Heading1"/>
      </w:pPr>
      <w:r>
        <w:t>52. Tax Export Reconciliation</w:t>
      </w:r>
    </w:p>
    <w:p>
      <w:pPr>
        <w:pStyle w:val="ListBullet"/>
      </w:pPr>
      <w:r>
        <w:t>Invoice tax totals reconcile to tax report.</w:t>
      </w:r>
    </w:p>
    <w:p>
      <w:pPr>
        <w:pStyle w:val="ListBullet"/>
      </w:pPr>
      <w:r>
        <w:t>Credit/return tax reversals reconcile.</w:t>
      </w:r>
    </w:p>
    <w:p>
      <w:pPr>
        <w:pStyle w:val="ListBullet"/>
      </w:pPr>
      <w:r>
        <w:t>Taxable value + tax components match invoice totals.</w:t>
      </w:r>
    </w:p>
    <w:p>
      <w:pPr>
        <w:pStyle w:val="ListBullet"/>
      </w:pPr>
      <w:r>
        <w:t>Export includes required configured fields.</w:t>
      </w:r>
    </w:p>
    <w:p>
      <w:pPr>
        <w:pStyle w:val="ListBullet"/>
      </w:pPr>
      <w:r>
        <w:t>Large exports run asynchronously.</w:t>
      </w:r>
    </w:p>
    <w:p>
      <w:pPr>
        <w:pStyle w:val="ListBullet"/>
      </w:pPr>
      <w:r>
        <w:t>Export job is auditable.</w:t>
      </w:r>
    </w:p>
    <w:p>
      <w:pPr>
        <w:pStyle w:val="Heading1"/>
      </w:pPr>
      <w:r>
        <w:t>53. Security</w:t>
      </w:r>
    </w:p>
    <w:p>
      <w:pPr>
        <w:pStyle w:val="ListBullet"/>
      </w:pPr>
      <w:r>
        <w:t>RLS on tenant-owned financial tables.</w:t>
      </w:r>
    </w:p>
    <w:p>
      <w:pPr>
        <w:pStyle w:val="ListBullet"/>
      </w:pPr>
      <w:r>
        <w:t>Least-privilege DB roles.</w:t>
      </w:r>
    </w:p>
    <w:p>
      <w:pPr>
        <w:pStyle w:val="ListBullet"/>
      </w:pPr>
      <w:r>
        <w:t>Owner/admin overrides permission-checked.</w:t>
      </w:r>
    </w:p>
    <w:p>
      <w:pPr>
        <w:pStyle w:val="ListBullet"/>
      </w:pPr>
      <w:r>
        <w:t>Sensitive financial actions audited.</w:t>
      </w:r>
    </w:p>
    <w:p>
      <w:pPr>
        <w:pStyle w:val="ListBullet"/>
      </w:pPr>
      <w:r>
        <w:t>Secure authentication and device sessions.</w:t>
      </w:r>
    </w:p>
    <w:p>
      <w:pPr>
        <w:pStyle w:val="ListBullet"/>
      </w:pPr>
      <w:r>
        <w:t>Idempotency on financial writes.</w:t>
      </w:r>
    </w:p>
    <w:p>
      <w:pPr>
        <w:pStyle w:val="ListBullet"/>
      </w:pPr>
      <w:r>
        <w:t>No secret in logs.</w:t>
      </w:r>
    </w:p>
    <w:p>
      <w:pPr>
        <w:pStyle w:val="Heading1"/>
      </w:pPr>
      <w:r>
        <w:t>54. Concurrency</w:t>
      </w:r>
    </w:p>
    <w:p>
      <w:pPr>
        <w:pStyle w:val="ListBullet"/>
      </w:pPr>
      <w:r>
        <w:t>Credit limit check and ledger posting occur in one transaction.</w:t>
      </w:r>
    </w:p>
    <w:p>
      <w:pPr>
        <w:pStyle w:val="ListBullet"/>
      </w:pPr>
      <w:r>
        <w:t>Invoice document series uses database-safe sequencing.</w:t>
      </w:r>
    </w:p>
    <w:p>
      <w:pPr>
        <w:pStyle w:val="ListBullet"/>
      </w:pPr>
      <w:r>
        <w:t>Payment allocation locks relevant receivable rows.</w:t>
      </w:r>
    </w:p>
    <w:p>
      <w:pPr>
        <w:pStyle w:val="ListBullet"/>
      </w:pPr>
      <w:r>
        <w:t>Cash session close prevents conflicting late movements according to policy.</w:t>
      </w:r>
    </w:p>
    <w:p>
      <w:pPr>
        <w:pStyle w:val="ListBullet"/>
      </w:pPr>
      <w:r>
        <w:t>Reversal checks are transactional.</w:t>
      </w:r>
    </w:p>
    <w:p>
      <w:pPr>
        <w:pStyle w:val="ListBullet"/>
      </w:pPr>
      <w:r>
        <w:t>Deadlock/serialization retry only for safe operations.</w:t>
      </w:r>
    </w:p>
    <w:p>
      <w:pPr>
        <w:pStyle w:val="Heading1"/>
      </w:pPr>
      <w:r>
        <w:t>55. Offline Accounting Projection</w:t>
      </w:r>
    </w:p>
    <w:p>
      <w:pPr>
        <w:pStyle w:val="ListBullet"/>
      </w:pPr>
      <w:r>
        <w:t>Client may maintain provisional balances for usability.</w:t>
      </w:r>
    </w:p>
    <w:p>
      <w:pPr>
        <w:pStyle w:val="ListBullet"/>
      </w:pPr>
      <w:r>
        <w:t>Provisional state is visibly distinguishable where material.</w:t>
      </w:r>
    </w:p>
    <w:p>
      <w:pPr>
        <w:pStyle w:val="ListBullet"/>
      </w:pPr>
      <w:r>
        <w:t>Server authoritative result replaces provisional state after sync.</w:t>
      </w:r>
    </w:p>
    <w:p>
      <w:pPr>
        <w:pStyle w:val="ListBullet"/>
      </w:pPr>
      <w:r>
        <w:t>Local journal IDs map to server journal IDs.</w:t>
      </w:r>
    </w:p>
    <w:p>
      <w:pPr>
        <w:pStyle w:val="ListBullet"/>
      </w:pPr>
      <w:r>
        <w:t>Rejected/conflicted financial operations remain preserved for review.</w:t>
      </w:r>
    </w:p>
    <w:p>
      <w:pPr>
        <w:pStyle w:val="Heading1"/>
      </w:pPr>
      <w:r>
        <w:t>56. Financial Event Model</w:t>
      </w:r>
    </w:p>
    <w:p>
      <w:r>
        <w:t>Recommended event names: SaleFinalized, PaymentCaptured, PaymentRefunded, ReceiptPosted, CustomerLedgerPosted, SupplierPayablePosted, SupplierPaymentPosted, ContraPosted, ReturnPosted, JournalPosted, EODClosed. Events are emitted after successful commit and consumed idempotently.</w:t>
      </w:r>
    </w:p>
    <w:p>
      <w:pPr>
        <w:pStyle w:val="Heading1"/>
      </w:pPr>
      <w:r>
        <w:t>57. Outbox</w:t>
      </w:r>
    </w:p>
    <w:p>
      <w:pPr>
        <w:pStyle w:val="ListBullet"/>
      </w:pPr>
      <w:r>
        <w:t>Write outbox record in same transaction as financial state.</w:t>
      </w:r>
    </w:p>
    <w:p>
      <w:pPr>
        <w:pStyle w:val="ListBullet"/>
      </w:pPr>
      <w:r>
        <w:t>Worker publishes after commit.</w:t>
      </w:r>
    </w:p>
    <w:p>
      <w:pPr>
        <w:pStyle w:val="ListBullet"/>
      </w:pPr>
      <w:r>
        <w:t>Retry transient delivery errors.</w:t>
      </w:r>
    </w:p>
    <w:p>
      <w:pPr>
        <w:pStyle w:val="ListBullet"/>
      </w:pPr>
      <w:r>
        <w:t>Dead-letter permanent failures.</w:t>
      </w:r>
    </w:p>
    <w:p>
      <w:pPr>
        <w:pStyle w:val="ListBullet"/>
      </w:pPr>
      <w:r>
        <w:t>Consumers use event ID for deduplication.</w:t>
      </w:r>
    </w:p>
    <w:p>
      <w:pPr>
        <w:pStyle w:val="Heading1"/>
      </w:pPr>
      <w:r>
        <w:t>58. Archival</w:t>
      </w:r>
    </w:p>
    <w:p>
      <w:pPr>
        <w:pStyle w:val="ListBullet"/>
      </w:pPr>
      <w:r>
        <w:t>Financial history follows retention policy, not simply paid+old.</w:t>
      </w:r>
    </w:p>
    <w:p>
      <w:pPr>
        <w:pStyle w:val="ListBullet"/>
      </w:pPr>
      <w:r>
        <w:t>Archive manifest includes source IDs and checksums.</w:t>
      </w:r>
    </w:p>
    <w:p>
      <w:pPr>
        <w:pStyle w:val="ListBullet"/>
      </w:pPr>
      <w:r>
        <w:t>Archive does not alter financial meaning.</w:t>
      </w:r>
    </w:p>
    <w:p>
      <w:pPr>
        <w:pStyle w:val="ListBullet"/>
      </w:pPr>
      <w:r>
        <w:t>Restore testing verifies statement/invoice traceability.</w:t>
      </w:r>
    </w:p>
    <w:p>
      <w:pPr>
        <w:pStyle w:val="ListBullet"/>
      </w:pPr>
      <w:r>
        <w:t>Postgres backups remain primary recovery control.</w:t>
      </w:r>
    </w:p>
    <w:p>
      <w:pPr>
        <w:pStyle w:val="Heading1"/>
      </w:pPr>
      <w:r>
        <w:t>59. Data Retention</w:t>
      </w:r>
    </w:p>
    <w:p>
      <w:pPr>
        <w:pStyle w:val="ListBullet"/>
      </w:pPr>
      <w:r>
        <w:t>Posted financial records retained according to legal/accounting policy.</w:t>
      </w:r>
    </w:p>
    <w:p>
      <w:pPr>
        <w:pStyle w:val="ListBullet"/>
      </w:pPr>
      <w:r>
        <w:t>Do not hardcode a universal retention period without business/legal confirmation.</w:t>
      </w:r>
    </w:p>
    <w:p>
      <w:pPr>
        <w:pStyle w:val="ListBullet"/>
      </w:pPr>
      <w:r>
        <w:t>Local device history can be pruned separately from server financial records.</w:t>
      </w:r>
    </w:p>
    <w:p>
      <w:pPr>
        <w:pStyle w:val="ListBullet"/>
      </w:pPr>
      <w:r>
        <w:t>Audit and source-document links must remain available for required retention.</w:t>
      </w:r>
    </w:p>
    <w:p>
      <w:pPr>
        <w:pStyle w:val="Heading1"/>
      </w:pPr>
      <w:r>
        <w:t>60. Error Catalogue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Code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CREDIT_LIMIT_EXCEEDED</w:t>
            </w:r>
          </w:p>
        </w:tc>
        <w:tc>
          <w:tcPr>
            <w:tcW w:type="dxa" w:w="5040"/>
          </w:tcPr>
          <w:p>
            <w:r>
              <w:t>Credit policy failed</w:t>
            </w:r>
          </w:p>
        </w:tc>
      </w:tr>
      <w:tr>
        <w:tc>
          <w:tcPr>
            <w:tcW w:type="dxa" w:w="5040"/>
          </w:tcPr>
          <w:p>
            <w:r>
              <w:t>OVERRIDE_REQUIRED</w:t>
            </w:r>
          </w:p>
        </w:tc>
        <w:tc>
          <w:tcPr>
            <w:tcW w:type="dxa" w:w="5040"/>
          </w:tcPr>
          <w:p>
            <w:r>
              <w:t>Elevated authorization required</w:t>
            </w:r>
          </w:p>
        </w:tc>
      </w:tr>
      <w:tr>
        <w:tc>
          <w:tcPr>
            <w:tcW w:type="dxa" w:w="5040"/>
          </w:tcPr>
          <w:p>
            <w:r>
              <w:t>PAYMENT_ALREADY_ALLOCATED</w:t>
            </w:r>
          </w:p>
        </w:tc>
        <w:tc>
          <w:tcPr>
            <w:tcW w:type="dxa" w:w="5040"/>
          </w:tcPr>
          <w:p>
            <w:r>
              <w:t>Duplicate/over-allocation attempt</w:t>
            </w:r>
          </w:p>
        </w:tc>
      </w:tr>
      <w:tr>
        <w:tc>
          <w:tcPr>
            <w:tcW w:type="dxa" w:w="5040"/>
          </w:tcPr>
          <w:p>
            <w:r>
              <w:t>JOURNAL_UNBALANCED</w:t>
            </w:r>
          </w:p>
        </w:tc>
        <w:tc>
          <w:tcPr>
            <w:tcW w:type="dxa" w:w="5040"/>
          </w:tcPr>
          <w:p>
            <w:r>
              <w:t>Debit/credit mismatch</w:t>
            </w:r>
          </w:p>
        </w:tc>
      </w:tr>
      <w:tr>
        <w:tc>
          <w:tcPr>
            <w:tcW w:type="dxa" w:w="5040"/>
          </w:tcPr>
          <w:p>
            <w:r>
              <w:t>RECEIVABLE_OVERALLOCATED</w:t>
            </w:r>
          </w:p>
        </w:tc>
        <w:tc>
          <w:tcPr>
            <w:tcW w:type="dxa" w:w="5040"/>
          </w:tcPr>
          <w:p>
            <w:r>
              <w:t>Allocation exceeds due</w:t>
            </w:r>
          </w:p>
        </w:tc>
      </w:tr>
      <w:tr>
        <w:tc>
          <w:tcPr>
            <w:tcW w:type="dxa" w:w="5040"/>
          </w:tcPr>
          <w:p>
            <w:r>
              <w:t>REFUND_NOT_ALLOWED</w:t>
            </w:r>
          </w:p>
        </w:tc>
        <w:tc>
          <w:tcPr>
            <w:tcW w:type="dxa" w:w="5040"/>
          </w:tcPr>
          <w:p>
            <w:r>
              <w:t>Refund exceeds eligible amount</w:t>
            </w:r>
          </w:p>
        </w:tc>
      </w:tr>
      <w:tr>
        <w:tc>
          <w:tcPr>
            <w:tcW w:type="dxa" w:w="5040"/>
          </w:tcPr>
          <w:p>
            <w:r>
              <w:t>REVERSAL_EXCEEDS_ORIGINAL</w:t>
            </w:r>
          </w:p>
        </w:tc>
        <w:tc>
          <w:tcPr>
            <w:tcW w:type="dxa" w:w="5040"/>
          </w:tcPr>
          <w:p>
            <w:r>
              <w:t>Invalid reversal</w:t>
            </w:r>
          </w:p>
        </w:tc>
      </w:tr>
      <w:tr>
        <w:tc>
          <w:tcPr>
            <w:tcW w:type="dxa" w:w="5040"/>
          </w:tcPr>
          <w:p>
            <w:r>
              <w:t>EOD_ALREADY_CLOSED</w:t>
            </w:r>
          </w:p>
        </w:tc>
        <w:tc>
          <w:tcPr>
            <w:tcW w:type="dxa" w:w="5040"/>
          </w:tcPr>
          <w:p>
            <w:r>
              <w:t>Cash session immutable</w:t>
            </w:r>
          </w:p>
        </w:tc>
      </w:tr>
      <w:tr>
        <w:tc>
          <w:tcPr>
            <w:tcW w:type="dxa" w:w="5040"/>
          </w:tcPr>
          <w:p>
            <w:r>
              <w:t>DOCUMENT_SERIES_CONFLICT</w:t>
            </w:r>
          </w:p>
        </w:tc>
        <w:tc>
          <w:tcPr>
            <w:tcW w:type="dxa" w:w="5040"/>
          </w:tcPr>
          <w:p>
            <w:r>
              <w:t>Duplicate/invalid number</w:t>
            </w:r>
          </w:p>
        </w:tc>
      </w:tr>
      <w:tr>
        <w:tc>
          <w:tcPr>
            <w:tcW w:type="dxa" w:w="5040"/>
          </w:tcPr>
          <w:p>
            <w:r>
              <w:t>RECONCILIATION_MISMATCH</w:t>
            </w:r>
          </w:p>
        </w:tc>
        <w:tc>
          <w:tcPr>
            <w:tcW w:type="dxa" w:w="5040"/>
          </w:tcPr>
          <w:p>
            <w:r>
              <w:t>Provider/internal mismatch</w:t>
            </w:r>
          </w:p>
        </w:tc>
      </w:tr>
    </w:tbl>
    <w:p>
      <w:pPr>
        <w:pStyle w:val="Heading1"/>
      </w:pPr>
      <w:r>
        <w:t>61. Transaction Examples</w:t>
      </w:r>
    </w:p>
    <w:p>
      <w:r>
        <w:t>Cash sale: invoice + cash tender + stock movement + revenue/tax + inventory cost posting commit together. Khata sale: invoice + customer receivable + stock movement + revenue/tax + inventory cost. Customer receipt: payment + allocations + customer ledger + cash/bank journal. Contra: inventory receipt + customer credit + valuation/accounting.</w:t>
      </w:r>
    </w:p>
    <w:p>
      <w:pPr>
        <w:pStyle w:val="Heading1"/>
      </w:pPr>
      <w:r>
        <w:t>62. Detailed Khata Example</w:t>
      </w:r>
    </w:p>
    <w:p>
      <w:pPr>
        <w:pStyle w:val="ListNumber"/>
      </w:pPr>
      <w:r>
        <w:t>Customer outstanding = ₹8,000.</w:t>
      </w:r>
    </w:p>
    <w:p>
      <w:pPr>
        <w:pStyle w:val="ListNumber"/>
      </w:pPr>
      <w:r>
        <w:t>Credit limit = ₹10,000.</w:t>
      </w:r>
    </w:p>
    <w:p>
      <w:pPr>
        <w:pStyle w:val="ListNumber"/>
      </w:pPr>
      <w:r>
        <w:t>New sale = ₹1,500.</w:t>
      </w:r>
    </w:p>
    <w:p>
      <w:pPr>
        <w:pStyle w:val="ListNumber"/>
      </w:pPr>
      <w:r>
        <w:t>Exposure becomes ₹9,500.</w:t>
      </w:r>
    </w:p>
    <w:p>
      <w:pPr>
        <w:pStyle w:val="ListNumber"/>
      </w:pPr>
      <w:r>
        <w:t>Sale is accepted.</w:t>
      </w:r>
    </w:p>
    <w:p>
      <w:pPr>
        <w:pStyle w:val="ListNumber"/>
      </w:pPr>
      <w:r>
        <w:t>Customer later pays ₹2,000.</w:t>
      </w:r>
    </w:p>
    <w:p>
      <w:pPr>
        <w:pStyle w:val="ListNumber"/>
      </w:pPr>
      <w:r>
        <w:t>Receipt allocation reduces outstanding to ₹7,500.</w:t>
      </w:r>
    </w:p>
    <w:p>
      <w:pPr>
        <w:pStyle w:val="ListNumber"/>
      </w:pPr>
      <w:r>
        <w:t>Every event has its own immutable ledger/journal references.</w:t>
      </w:r>
    </w:p>
    <w:p>
      <w:pPr>
        <w:pStyle w:val="Heading1"/>
      </w:pPr>
      <w:r>
        <w:t>63. Credit Override Example</w:t>
      </w:r>
    </w:p>
    <w:p>
      <w:r>
        <w:t>Customer outstanding ₹9,500, limit ₹10,000, requested credit ₹2,000. Transaction exceeds available credit by ₹1,500. System rejects or requires authorized override. If overridden, actor/reason/amount/limit are recorded. The backend performs the final decision transactionally.</w:t>
      </w:r>
    </w:p>
    <w:p>
      <w:pPr>
        <w:pStyle w:val="Heading1"/>
      </w:pPr>
      <w:r>
        <w:t>64. Supplier Payable Example</w:t>
      </w:r>
    </w:p>
    <w:p>
      <w:r>
        <w:t>GRN creates a payable of ₹50,000 according to configured purchase accounting. Supplier payment of ₹20,000 is allocated. Outstanding payable becomes ₹30,000. Both events remain separately traceable.</w:t>
      </w:r>
    </w:p>
    <w:p>
      <w:pPr>
        <w:pStyle w:val="Heading1"/>
      </w:pPr>
      <w:r>
        <w:t>65. EOD Example</w:t>
      </w:r>
    </w:p>
    <w:p>
      <w:r>
        <w:t>Opening cash ₹5,000 + cash sales ₹20,000 + cash receipts ₹4,000 − cash payouts ₹2,500 = expected ₹26,500. Physical count is entered. Any variance is displayed and handled by the configured approval/accounting policy. Noncash UPI/Khata amounts are excluded from physical cash.</w:t>
      </w:r>
    </w:p>
    <w:p>
      <w:pPr>
        <w:pStyle w:val="Heading1"/>
      </w:pPr>
      <w:r>
        <w:t>66. Accounting Test Matrix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Test</w:t>
            </w:r>
          </w:p>
        </w:tc>
        <w:tc>
          <w:tcPr>
            <w:tcW w:type="dxa" w:w="5040"/>
          </w:tcPr>
          <w:p>
            <w:r>
              <w:t>Expected</w:t>
            </w:r>
          </w:p>
        </w:tc>
      </w:tr>
      <w:tr>
        <w:tc>
          <w:tcPr>
            <w:tcW w:type="dxa" w:w="5040"/>
          </w:tcPr>
          <w:p>
            <w:r>
              <w:t>Cash sale</w:t>
            </w:r>
          </w:p>
        </w:tc>
        <w:tc>
          <w:tcPr>
            <w:tcW w:type="dxa" w:w="5040"/>
          </w:tcPr>
          <w:p>
            <w:r>
              <w:t>Balanced journal + cash/stock/receivable state</w:t>
            </w:r>
          </w:p>
        </w:tc>
      </w:tr>
      <w:tr>
        <w:tc>
          <w:tcPr>
            <w:tcW w:type="dxa" w:w="5040"/>
          </w:tcPr>
          <w:p>
            <w:r>
              <w:t>Khata sale</w:t>
            </w:r>
          </w:p>
        </w:tc>
        <w:tc>
          <w:tcPr>
            <w:tcW w:type="dxa" w:w="5040"/>
          </w:tcPr>
          <w:p>
            <w:r>
              <w:t>Customer receivable increases</w:t>
            </w:r>
          </w:p>
        </w:tc>
      </w:tr>
      <w:tr>
        <w:tc>
          <w:tcPr>
            <w:tcW w:type="dxa" w:w="5040"/>
          </w:tcPr>
          <w:p>
            <w:r>
              <w:t>Receipt</w:t>
            </w:r>
          </w:p>
        </w:tc>
        <w:tc>
          <w:tcPr>
            <w:tcW w:type="dxa" w:w="5040"/>
          </w:tcPr>
          <w:p>
            <w:r>
              <w:t>Customer outstanding decreases</w:t>
            </w:r>
          </w:p>
        </w:tc>
      </w:tr>
      <w:tr>
        <w:tc>
          <w:tcPr>
            <w:tcW w:type="dxa" w:w="5040"/>
          </w:tcPr>
          <w:p>
            <w:r>
              <w:t>Supplier payment</w:t>
            </w:r>
          </w:p>
        </w:tc>
        <w:tc>
          <w:tcPr>
            <w:tcW w:type="dxa" w:w="5040"/>
          </w:tcPr>
          <w:p>
            <w:r>
              <w:t>Supplier payable decreases</w:t>
            </w:r>
          </w:p>
        </w:tc>
      </w:tr>
      <w:tr>
        <w:tc>
          <w:tcPr>
            <w:tcW w:type="dxa" w:w="5040"/>
          </w:tcPr>
          <w:p>
            <w:r>
              <w:t>Return</w:t>
            </w:r>
          </w:p>
        </w:tc>
        <w:tc>
          <w:tcPr>
            <w:tcW w:type="dxa" w:w="5040"/>
          </w:tcPr>
          <w:p>
            <w:r>
              <w:t>Revenue/receivable/tax reversal as configured</w:t>
            </w:r>
          </w:p>
        </w:tc>
      </w:tr>
      <w:tr>
        <w:tc>
          <w:tcPr>
            <w:tcW w:type="dxa" w:w="5040"/>
          </w:tcPr>
          <w:p>
            <w:r>
              <w:t>Contra</w:t>
            </w:r>
          </w:p>
        </w:tc>
        <w:tc>
          <w:tcPr>
            <w:tcW w:type="dxa" w:w="5040"/>
          </w:tcPr>
          <w:p>
            <w:r>
              <w:t>Inventory increases + customer credit</w:t>
            </w:r>
          </w:p>
        </w:tc>
      </w:tr>
      <w:tr>
        <w:tc>
          <w:tcPr>
            <w:tcW w:type="dxa" w:w="5040"/>
          </w:tcPr>
          <w:p>
            <w:r>
              <w:t>Refund</w:t>
            </w:r>
          </w:p>
        </w:tc>
        <w:tc>
          <w:tcPr>
            <w:tcW w:type="dxa" w:w="5040"/>
          </w:tcPr>
          <w:p>
            <w:r>
              <w:t>Refund idempotent</w:t>
            </w:r>
          </w:p>
        </w:tc>
      </w:tr>
      <w:tr>
        <w:tc>
          <w:tcPr>
            <w:tcW w:type="dxa" w:w="5040"/>
          </w:tcPr>
          <w:p>
            <w:r>
              <w:t>Duplicate webhook</w:t>
            </w:r>
          </w:p>
        </w:tc>
        <w:tc>
          <w:tcPr>
            <w:tcW w:type="dxa" w:w="5040"/>
          </w:tcPr>
          <w:p>
            <w:r>
              <w:t>No second posting</w:t>
            </w:r>
          </w:p>
        </w:tc>
      </w:tr>
      <w:tr>
        <w:tc>
          <w:tcPr>
            <w:tcW w:type="dxa" w:w="5040"/>
          </w:tcPr>
          <w:p>
            <w:r>
              <w:t>Reversal</w:t>
            </w:r>
          </w:p>
        </w:tc>
        <w:tc>
          <w:tcPr>
            <w:tcW w:type="dxa" w:w="5040"/>
          </w:tcPr>
          <w:p>
            <w:r>
              <w:t>Original unchanged, inverse posted</w:t>
            </w:r>
          </w:p>
        </w:tc>
      </w:tr>
      <w:tr>
        <w:tc>
          <w:tcPr>
            <w:tcW w:type="dxa" w:w="5040"/>
          </w:tcPr>
          <w:p>
            <w:r>
              <w:t>EOD variance</w:t>
            </w:r>
          </w:p>
        </w:tc>
        <w:tc>
          <w:tcPr>
            <w:tcW w:type="dxa" w:w="5040"/>
          </w:tcPr>
          <w:p>
            <w:r>
              <w:t>Cash and variance posting reconcile</w:t>
            </w:r>
          </w:p>
        </w:tc>
      </w:tr>
    </w:tbl>
    <w:p>
      <w:pPr>
        <w:pStyle w:val="Heading1"/>
      </w:pPr>
      <w:r>
        <w:t>67. Property Invariants</w:t>
      </w:r>
    </w:p>
    <w:p>
      <w:pPr>
        <w:pStyle w:val="ListBullet"/>
      </w:pPr>
      <w:r>
        <w:t>Every posted journal has equal debits and credits.</w:t>
      </w:r>
    </w:p>
    <w:p>
      <w:pPr>
        <w:pStyle w:val="ListBullet"/>
      </w:pPr>
      <w:r>
        <w:t>Customer balance equals ledger-derived balance under defined scope.</w:t>
      </w:r>
    </w:p>
    <w:p>
      <w:pPr>
        <w:pStyle w:val="ListBullet"/>
      </w:pPr>
      <w:r>
        <w:t>Supplier balance equals ledger-derived balance.</w:t>
      </w:r>
    </w:p>
    <w:p>
      <w:pPr>
        <w:pStyle w:val="ListBullet"/>
      </w:pPr>
      <w:r>
        <w:t>Payment allocations never exceed payment amount.</w:t>
      </w:r>
    </w:p>
    <w:p>
      <w:pPr>
        <w:pStyle w:val="ListBullet"/>
      </w:pPr>
      <w:r>
        <w:t>Invoice allocations never exceed invoice receivable.</w:t>
      </w:r>
    </w:p>
    <w:p>
      <w:pPr>
        <w:pStyle w:val="ListBullet"/>
      </w:pPr>
      <w:r>
        <w:t>Return cannot exceed eligible original quantity/value.</w:t>
      </w:r>
    </w:p>
    <w:p>
      <w:pPr>
        <w:pStyle w:val="ListBullet"/>
      </w:pPr>
      <w:r>
        <w:t>Reversal cannot exceed original posted amount.</w:t>
      </w:r>
    </w:p>
    <w:p>
      <w:pPr>
        <w:pStyle w:val="ListBullet"/>
      </w:pPr>
      <w:r>
        <w:t>Duplicate financial command has one business effect.</w:t>
      </w:r>
    </w:p>
    <w:p>
      <w:pPr>
        <w:pStyle w:val="Heading1"/>
      </w:pPr>
      <w:r>
        <w:t>68. Performance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Operation</w:t>
            </w:r>
          </w:p>
        </w:tc>
        <w:tc>
          <w:tcPr>
            <w:tcW w:type="dxa" w:w="5040"/>
          </w:tcPr>
          <w:p>
            <w:r>
              <w:t>Baseline</w:t>
            </w:r>
          </w:p>
        </w:tc>
      </w:tr>
      <w:tr>
        <w:tc>
          <w:tcPr>
            <w:tcW w:type="dxa" w:w="5040"/>
          </w:tcPr>
          <w:p>
            <w:r>
              <w:t>Khata balance read</w:t>
            </w:r>
          </w:p>
        </w:tc>
        <w:tc>
          <w:tcPr>
            <w:tcW w:type="dxa" w:w="5040"/>
          </w:tcPr>
          <w:p>
            <w:r>
              <w:t>p95 &lt; 250 ms</w:t>
            </w:r>
          </w:p>
        </w:tc>
      </w:tr>
      <w:tr>
        <w:tc>
          <w:tcPr>
            <w:tcW w:type="dxa" w:w="5040"/>
          </w:tcPr>
          <w:p>
            <w:r>
              <w:t>Receipt posting</w:t>
            </w:r>
          </w:p>
        </w:tc>
        <w:tc>
          <w:tcPr>
            <w:tcW w:type="dxa" w:w="5040"/>
          </w:tcPr>
          <w:p>
            <w:r>
              <w:t>p95 &lt; 500 ms excluding external provider</w:t>
            </w:r>
          </w:p>
        </w:tc>
      </w:tr>
      <w:tr>
        <w:tc>
          <w:tcPr>
            <w:tcW w:type="dxa" w:w="5040"/>
          </w:tcPr>
          <w:p>
            <w:r>
              <w:t>Sale financial commit</w:t>
            </w:r>
          </w:p>
        </w:tc>
        <w:tc>
          <w:tcPr>
            <w:tcW w:type="dxa" w:w="5040"/>
          </w:tcPr>
          <w:p>
            <w:r>
              <w:t>Within POS transaction target</w:t>
            </w:r>
          </w:p>
        </w:tc>
      </w:tr>
      <w:tr>
        <w:tc>
          <w:tcPr>
            <w:tcW w:type="dxa" w:w="5040"/>
          </w:tcPr>
          <w:p>
            <w:r>
              <w:t>Statement page</w:t>
            </w:r>
          </w:p>
        </w:tc>
        <w:tc>
          <w:tcPr>
            <w:tcW w:type="dxa" w:w="5040"/>
          </w:tcPr>
          <w:p>
            <w:r>
              <w:t>p95 &lt; 500 ms paginated</w:t>
            </w:r>
          </w:p>
        </w:tc>
      </w:tr>
      <w:tr>
        <w:tc>
          <w:tcPr>
            <w:tcW w:type="dxa" w:w="5040"/>
          </w:tcPr>
          <w:p>
            <w:r>
              <w:t>Reconciliation</w:t>
            </w:r>
          </w:p>
        </w:tc>
        <w:tc>
          <w:tcPr>
            <w:tcW w:type="dxa" w:w="5040"/>
          </w:tcPr>
          <w:p>
            <w:r>
              <w:t>Async for large datasets</w:t>
            </w:r>
          </w:p>
        </w:tc>
      </w:tr>
    </w:tbl>
    <w:p>
      <w:pPr>
        <w:pStyle w:val="Heading1"/>
      </w:pPr>
      <w:r>
        <w:t>69. Testing Strategy</w:t>
      </w:r>
    </w:p>
    <w:p>
      <w:pPr>
        <w:pStyle w:val="ListBullet"/>
      </w:pPr>
      <w:r>
        <w:t>Unit tests for all financial calculations.</w:t>
      </w:r>
    </w:p>
    <w:p>
      <w:pPr>
        <w:pStyle w:val="ListBullet"/>
      </w:pPr>
      <w:r>
        <w:t>Integration tests against real PostgreSQL.</w:t>
      </w:r>
    </w:p>
    <w:p>
      <w:pPr>
        <w:pStyle w:val="ListBullet"/>
      </w:pPr>
      <w:r>
        <w:t>RLS tenant-isolation tests.</w:t>
      </w:r>
    </w:p>
    <w:p>
      <w:pPr>
        <w:pStyle w:val="ListBullet"/>
      </w:pPr>
      <w:r>
        <w:t>Concurrency tests for credit/payment allocation.</w:t>
      </w:r>
    </w:p>
    <w:p>
      <w:pPr>
        <w:pStyle w:val="ListBullet"/>
      </w:pPr>
      <w:r>
        <w:t>Idempotency/replay tests.</w:t>
      </w:r>
    </w:p>
    <w:p>
      <w:pPr>
        <w:pStyle w:val="ListBullet"/>
      </w:pPr>
      <w:r>
        <w:t>Offline synchronization tests.</w:t>
      </w:r>
    </w:p>
    <w:p>
      <w:pPr>
        <w:pStyle w:val="ListBullet"/>
      </w:pPr>
      <w:r>
        <w:t>Provider webhook tests.</w:t>
      </w:r>
    </w:p>
    <w:p>
      <w:pPr>
        <w:pStyle w:val="ListBullet"/>
      </w:pPr>
      <w:r>
        <w:t>Accounting balance property tests.</w:t>
      </w:r>
    </w:p>
    <w:p>
      <w:pPr>
        <w:pStyle w:val="ListBullet"/>
      </w:pPr>
      <w:r>
        <w:t>Restore/reconciliation tests.</w:t>
      </w:r>
    </w:p>
    <w:p>
      <w:pPr>
        <w:pStyle w:val="ListBullet"/>
      </w:pPr>
      <w:r>
        <w:t>Load tests for statements and reporting.</w:t>
      </w:r>
    </w:p>
    <w:p>
      <w:pPr>
        <w:pStyle w:val="Heading1"/>
      </w:pPr>
      <w:r>
        <w:t>70. Acceptance Criteria</w:t>
      </w:r>
    </w:p>
    <w:p>
      <w:pPr>
        <w:pStyle w:val="ListBullet"/>
      </w:pPr>
      <w:r>
        <w:t>No posted journal is unbalanced.</w:t>
      </w:r>
    </w:p>
    <w:p>
      <w:pPr>
        <w:pStyle w:val="ListBullet"/>
      </w:pPr>
      <w:r>
        <w:t>No duplicate payment/receipt/financial effect from retry.</w:t>
      </w:r>
    </w:p>
    <w:p>
      <w:pPr>
        <w:pStyle w:val="ListBullet"/>
      </w:pPr>
      <w:r>
        <w:t>Credit limit is enforced transactionally.</w:t>
      </w:r>
    </w:p>
    <w:p>
      <w:pPr>
        <w:pStyle w:val="ListBullet"/>
      </w:pPr>
      <w:r>
        <w:t>Owner override is permissioned and audited.</w:t>
      </w:r>
    </w:p>
    <w:p>
      <w:pPr>
        <w:pStyle w:val="ListBullet"/>
      </w:pPr>
      <w:r>
        <w:t>Customer/supplier balances reconcile to ledger.</w:t>
      </w:r>
    </w:p>
    <w:p>
      <w:pPr>
        <w:pStyle w:val="ListBullet"/>
      </w:pPr>
      <w:r>
        <w:t>Cash EOD reconciles expected vs physical.</w:t>
      </w:r>
    </w:p>
    <w:p>
      <w:pPr>
        <w:pStyle w:val="ListBullet"/>
      </w:pPr>
      <w:r>
        <w:t>Returns/refunds are linked and idempotent.</w:t>
      </w:r>
    </w:p>
    <w:p>
      <w:pPr>
        <w:pStyle w:val="ListBullet"/>
      </w:pPr>
      <w:r>
        <w:t>Contra creates both inventory and financial effects correctly.</w:t>
      </w:r>
    </w:p>
    <w:p>
      <w:pPr>
        <w:pStyle w:val="ListBullet"/>
      </w:pPr>
      <w:r>
        <w:t>Financial-year/document series cannot duplicate.</w:t>
      </w:r>
    </w:p>
    <w:p>
      <w:pPr>
        <w:pStyle w:val="ListBullet"/>
      </w:pPr>
      <w:r>
        <w:t>Offline transactions reconcile without double posting.</w:t>
      </w:r>
    </w:p>
    <w:p>
      <w:pPr>
        <w:pStyle w:val="ListBullet"/>
      </w:pPr>
      <w:r>
        <w:t>RLS blocks cross-tenant financial access.</w:t>
      </w:r>
    </w:p>
    <w:p>
      <w:pPr>
        <w:pStyle w:val="Heading1"/>
      </w:pPr>
      <w:r>
        <w:t>71. Implementation Checklist</w:t>
      </w:r>
    </w:p>
    <w:p>
      <w:pPr>
        <w:pStyle w:val="ListNumber"/>
      </w:pPr>
      <w:r>
        <w:t>Implement chart/account mapping model.</w:t>
      </w:r>
    </w:p>
    <w:p>
      <w:pPr>
        <w:pStyle w:val="ListNumber"/>
      </w:pPr>
      <w:r>
        <w:t>Implement journal posting service.</w:t>
      </w:r>
    </w:p>
    <w:p>
      <w:pPr>
        <w:pStyle w:val="ListNumber"/>
      </w:pPr>
      <w:r>
        <w:t>Implement customer ledger service.</w:t>
      </w:r>
    </w:p>
    <w:p>
      <w:pPr>
        <w:pStyle w:val="ListNumber"/>
      </w:pPr>
      <w:r>
        <w:t>Implement supplier ledger service.</w:t>
      </w:r>
    </w:p>
    <w:p>
      <w:pPr>
        <w:pStyle w:val="ListNumber"/>
      </w:pPr>
      <w:r>
        <w:t>Implement credit-limit service.</w:t>
      </w:r>
    </w:p>
    <w:p>
      <w:pPr>
        <w:pStyle w:val="ListNumber"/>
      </w:pPr>
      <w:r>
        <w:t>Implement receipt/payment allocation service.</w:t>
      </w:r>
    </w:p>
    <w:p>
      <w:pPr>
        <w:pStyle w:val="ListNumber"/>
      </w:pPr>
      <w:r>
        <w:t>Implement contra accounting.</w:t>
      </w:r>
    </w:p>
    <w:p>
      <w:pPr>
        <w:pStyle w:val="ListNumber"/>
      </w:pPr>
      <w:r>
        <w:t>Implement returns/refunds accounting.</w:t>
      </w:r>
    </w:p>
    <w:p>
      <w:pPr>
        <w:pStyle w:val="ListNumber"/>
      </w:pPr>
      <w:r>
        <w:t>Implement cash/EOD accounting.</w:t>
      </w:r>
    </w:p>
    <w:p>
      <w:pPr>
        <w:pStyle w:val="ListNumber"/>
      </w:pPr>
      <w:r>
        <w:t>Implement reversal/adjustment workflow.</w:t>
      </w:r>
    </w:p>
    <w:p>
      <w:pPr>
        <w:pStyle w:val="ListNumber"/>
      </w:pPr>
      <w:r>
        <w:t>Implement financial-year/document series.</w:t>
      </w:r>
    </w:p>
    <w:p>
      <w:pPr>
        <w:pStyle w:val="ListNumber"/>
      </w:pPr>
      <w:r>
        <w:t>Implement reconciliation.</w:t>
      </w:r>
    </w:p>
    <w:p>
      <w:pPr>
        <w:pStyle w:val="ListNumber"/>
      </w:pPr>
      <w:r>
        <w:t>Implement audit and outbox.</w:t>
      </w:r>
    </w:p>
    <w:p>
      <w:pPr>
        <w:pStyle w:val="ListNumber"/>
      </w:pPr>
      <w:r>
        <w:t>Implement offline financial hooks.</w:t>
      </w:r>
    </w:p>
    <w:p>
      <w:pPr>
        <w:pStyle w:val="ListNumber"/>
      </w:pPr>
      <w:r>
        <w:t>Implement reports and exports.</w:t>
      </w:r>
    </w:p>
    <w:p>
      <w:pPr>
        <w:pStyle w:val="ListNumber"/>
      </w:pPr>
      <w:r>
        <w:t>Implement comprehensive financial tests.</w:t>
      </w:r>
    </w:p>
    <w:p>
      <w:pPr>
        <w:pStyle w:val="Heading1"/>
      </w:pPr>
      <w:r>
        <w:t>72. Traceability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Document</w:t>
            </w:r>
          </w:p>
        </w:tc>
        <w:tc>
          <w:tcPr>
            <w:tcW w:type="dxa" w:w="5040"/>
          </w:tcPr>
          <w:p>
            <w:r>
              <w:t>Accounting/Khata dependency</w:t>
            </w:r>
          </w:p>
        </w:tc>
      </w:tr>
      <w:tr>
        <w:tc>
          <w:tcPr>
            <w:tcW w:type="dxa" w:w="5040"/>
          </w:tcPr>
          <w:p>
            <w:r>
              <w:t>PRD v1.2</w:t>
            </w:r>
          </w:p>
        </w:tc>
        <w:tc>
          <w:tcPr>
            <w:tcW w:type="dxa" w:w="5040"/>
          </w:tcPr>
          <w:p>
            <w:r>
              <w:t>Khata, credit, contra, Aavin reminders, payments, EOD, GST</w:t>
            </w:r>
          </w:p>
        </w:tc>
      </w:tr>
      <w:tr>
        <w:tc>
          <w:tcPr>
            <w:tcW w:type="dxa" w:w="5040"/>
          </w:tcPr>
          <w:p>
            <w:r>
              <w:t>DB &amp; ERD v1.0</w:t>
            </w:r>
          </w:p>
        </w:tc>
        <w:tc>
          <w:tcPr>
            <w:tcW w:type="dxa" w:w="5040"/>
          </w:tcPr>
          <w:p>
            <w:r>
              <w:t>Customer/supplier ledgers, journals, payments, cash, contra</w:t>
            </w:r>
          </w:p>
        </w:tc>
      </w:tr>
      <w:tr>
        <w:tc>
          <w:tcPr>
            <w:tcW w:type="dxa" w:w="5040"/>
          </w:tcPr>
          <w:p>
            <w:r>
              <w:t>API v1.0</w:t>
            </w:r>
          </w:p>
        </w:tc>
        <w:tc>
          <w:tcPr>
            <w:tcW w:type="dxa" w:w="5040"/>
          </w:tcPr>
          <w:p>
            <w:r>
              <w:t>Khata, receipts, payments, refunds, contra, EOD routes</w:t>
            </w:r>
          </w:p>
        </w:tc>
      </w:tr>
      <w:tr>
        <w:tc>
          <w:tcPr>
            <w:tcW w:type="dxa" w:w="5040"/>
          </w:tcPr>
          <w:p>
            <w:r>
              <w:t>Go Architecture v1.0</w:t>
            </w:r>
          </w:p>
        </w:tc>
        <w:tc>
          <w:tcPr>
            <w:tcW w:type="dxa" w:w="5040"/>
          </w:tcPr>
          <w:p>
            <w:r>
              <w:t>Transactions, decimal, idempotency, RLS, outbox</w:t>
            </w:r>
          </w:p>
        </w:tc>
      </w:tr>
      <w:tr>
        <w:tc>
          <w:tcPr>
            <w:tcW w:type="dxa" w:w="5040"/>
          </w:tcPr>
          <w:p>
            <w:r>
              <w:t>Flutter Architecture v1.0</w:t>
            </w:r>
          </w:p>
        </w:tc>
        <w:tc>
          <w:tcPr>
            <w:tcW w:type="dxa" w:w="5040"/>
          </w:tcPr>
          <w:p>
            <w:r>
              <w:t>POS, Khata, payment and EOD UI</w:t>
            </w:r>
          </w:p>
        </w:tc>
      </w:tr>
      <w:tr>
        <w:tc>
          <w:tcPr>
            <w:tcW w:type="dxa" w:w="5040"/>
          </w:tcPr>
          <w:p>
            <w:r>
              <w:t>Offline Sync v1.0</w:t>
            </w:r>
          </w:p>
        </w:tc>
        <w:tc>
          <w:tcPr>
            <w:tcW w:type="dxa" w:w="5040"/>
          </w:tcPr>
          <w:p>
            <w:r>
              <w:t>Financial transaction envelopes and conflict handling</w:t>
            </w:r>
          </w:p>
        </w:tc>
      </w:tr>
      <w:tr>
        <w:tc>
          <w:tcPr>
            <w:tcW w:type="dxa" w:w="5040"/>
          </w:tcPr>
          <w:p>
            <w:r>
              <w:t>Inventory v1.0</w:t>
            </w:r>
          </w:p>
        </w:tc>
        <w:tc>
          <w:tcPr>
            <w:tcW w:type="dxa" w:w="5040"/>
          </w:tcPr>
          <w:p>
            <w:r>
              <w:t>Stock/accounting linkage, costing and contra</w:t>
            </w:r>
          </w:p>
        </w:tc>
      </w:tr>
    </w:tbl>
    <w:p>
      <w:pPr>
        <w:pStyle w:val="Heading1"/>
      </w:pPr>
      <w:r>
        <w:t>73. Final Financial Architecture</w:t>
      </w:r>
    </w:p>
    <w:p>
      <w:r>
        <w:t>The Accounting &amp; Khata Engine provides immutable, auditable financial history with double-entry journal support, customer and supplier subledgers, transactional credit controls, exact payment allocation, contra/buy-back accounting, returns/refunds, cash/EOD reconciliation, tax linkage and idempotent synchronization. Operational projections may exist on Flutter, but PostgreSQL remains the financial authority.</w:t>
      </w:r>
    </w:p>
    <w:p>
      <w:r>
        <w:t>This document is the implementation baseline for Document 08 — Complete POS &amp; Billing Engine Specification.</w:t>
      </w:r>
    </w:p>
    <w:p>
      <w:pPr>
        <w:pStyle w:val="Heading1"/>
      </w:pPr>
      <w:r>
        <w:t>Appendix A — Non-Negotiable Financial Rules</w:t>
      </w:r>
    </w:p>
    <w:p>
      <w:pPr>
        <w:pStyle w:val="ListBullet"/>
      </w:pPr>
      <w:r>
        <w:t>Never use floating-point money arithmetic.</w:t>
      </w:r>
    </w:p>
    <w:p>
      <w:pPr>
        <w:pStyle w:val="ListBullet"/>
      </w:pPr>
      <w:r>
        <w:t>Never directly edit a posted ledger balance.</w:t>
      </w:r>
    </w:p>
    <w:p>
      <w:pPr>
        <w:pStyle w:val="ListBullet"/>
      </w:pPr>
      <w:r>
        <w:t>Never directly edit a posted journal.</w:t>
      </w:r>
    </w:p>
    <w:p>
      <w:pPr>
        <w:pStyle w:val="ListBullet"/>
      </w:pPr>
      <w:r>
        <w:t>Never post an unbalanced journal.</w:t>
      </w:r>
    </w:p>
    <w:p>
      <w:pPr>
        <w:pStyle w:val="ListBullet"/>
      </w:pPr>
      <w:r>
        <w:t>Never trust client payment success alone.</w:t>
      </w:r>
    </w:p>
    <w:p>
      <w:pPr>
        <w:pStyle w:val="ListBullet"/>
      </w:pPr>
      <w:r>
        <w:t>Never exceed credit limit without explicit policy/authorization.</w:t>
      </w:r>
    </w:p>
    <w:p>
      <w:pPr>
        <w:pStyle w:val="ListBullet"/>
      </w:pPr>
      <w:r>
        <w:t>Never duplicate a financial effect on retry.</w:t>
      </w:r>
    </w:p>
    <w:p>
      <w:pPr>
        <w:pStyle w:val="ListBullet"/>
      </w:pPr>
      <w:r>
        <w:t>Never silently erase an overpayment.</w:t>
      </w:r>
    </w:p>
    <w:p>
      <w:pPr>
        <w:pStyle w:val="ListBullet"/>
      </w:pPr>
      <w:r>
        <w:t>Never silently rewrite historical pricing/tax/accounting.</w:t>
      </w:r>
    </w:p>
    <w:p>
      <w:pPr>
        <w:pStyle w:val="ListBullet"/>
      </w:pPr>
      <w:r>
        <w:t>Never use last-write-wins for financial records.</w:t>
      </w:r>
    </w:p>
    <w:p>
      <w:r>
        <w:t>End of Document 07.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Implementation Baseline • Document 07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Andipatti Animal Feed System — Accounting &amp; Khata Engine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