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b/>
          <w:sz w:val="32"/>
        </w:rPr>
        <w:t>COMPLETE DATABASE &amp; ERD SPECIFICATION</w:t>
      </w:r>
    </w:p>
    <w:p>
      <w:pPr>
        <w:jc w:val="center"/>
      </w:pPr>
      <w:r>
        <w:rPr>
          <w:i/>
        </w:rPr>
        <w:t>Version 1.0 • Implementation Baseline • PostgreSQL + Flutter SQLCipher Offline Store</w:t>
      </w:r>
    </w:p>
    <w:p>
      <w:r>
        <w:t>This document is the database-level companion to the Final Master PRD v1.2. It is intentionally exhaustive and defines the logical model, physical PostgreSQL model, tenant isolation, accounting/inventory ledgers, offline synchronization, integrations, auditability, indexing, constraints, partitioning, retention and migration rules.</w:t>
      </w:r>
    </w:p>
    <w:p>
      <w:r>
        <w:t>Regulatory values such as tax rates, HSN classification, statutory thresholds and provider-specific fields are configuration-driven and must be validated against current applicable rules before production.</w:t>
      </w:r>
    </w:p>
    <w:p>
      <w:pPr>
        <w:pStyle w:val="Heading1"/>
      </w:pPr>
      <w:r>
        <w:t>1. Database Design Objectives</w:t>
      </w:r>
    </w:p>
    <w:p>
      <w:pPr>
        <w:pStyle w:val="ListBullet"/>
      </w:pPr>
      <w:r>
        <w:t>PostgreSQL is the authoritative transactional source of truth.</w:t>
      </w:r>
    </w:p>
    <w:p>
      <w:pPr>
        <w:pStyle w:val="ListBullet"/>
      </w:pPr>
      <w:r>
        <w:t>Every tenant-owned row is tenant-scoped and protected by application authorization plus PostgreSQL Row-Level Security (RLS).</w:t>
      </w:r>
    </w:p>
    <w:p>
      <w:pPr>
        <w:pStyle w:val="ListBullet"/>
      </w:pPr>
      <w:r>
        <w:t>Financial and inventory events are append-oriented and auditable; derived balances are projections/caches.</w:t>
      </w:r>
    </w:p>
    <w:p>
      <w:pPr>
        <w:pStyle w:val="ListBullet"/>
      </w:pPr>
      <w:r>
        <w:t>Money uses NUMERIC(12,2) unless a wider approved precision is required.</w:t>
      </w:r>
    </w:p>
    <w:p>
      <w:pPr>
        <w:pStyle w:val="ListBullet"/>
      </w:pPr>
      <w:r>
        <w:t>Weight and inventory quantities use NUMERIC(12,3); UOM factors use NUMERIC(12,6).</w:t>
      </w:r>
    </w:p>
    <w:p>
      <w:pPr>
        <w:pStyle w:val="ListBullet"/>
      </w:pPr>
      <w:r>
        <w:t>All authoritative financial timestamps are server-generated and timezone-aware.</w:t>
      </w:r>
    </w:p>
    <w:p>
      <w:pPr>
        <w:pStyle w:val="ListBullet"/>
      </w:pPr>
      <w:r>
        <w:t>Offline transactions use UUIDs, device identity, local sequence and idempotency keys.</w:t>
      </w:r>
    </w:p>
    <w:p>
      <w:pPr>
        <w:pStyle w:val="ListBullet"/>
      </w:pPr>
      <w:r>
        <w:t>Historical transactions retain snapshots of the master data needed to reproduce the original result.</w:t>
      </w:r>
    </w:p>
    <w:p>
      <w:pPr>
        <w:pStyle w:val="ListBullet"/>
      </w:pPr>
      <w:r>
        <w:t>Referenced master records are deactivated rather than physically deleted.</w:t>
      </w:r>
    </w:p>
    <w:p>
      <w:pPr>
        <w:pStyle w:val="ListBullet"/>
      </w:pPr>
      <w:r>
        <w:t>Database migrations are version-controlled and tested.</w:t>
      </w:r>
    </w:p>
    <w:p>
      <w:pPr>
        <w:pStyle w:val="Heading1"/>
      </w:pPr>
      <w:r>
        <w:t>2. Technology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Component</w:t>
            </w:r>
          </w:p>
        </w:tc>
        <w:tc>
          <w:tcPr>
            <w:tcW w:type="dxa" w:w="5184"/>
          </w:tcPr>
          <w:p>
            <w:r>
              <w:t>Baseline</w:t>
            </w:r>
          </w:p>
        </w:tc>
      </w:tr>
      <w:tr>
        <w:tc>
          <w:tcPr>
            <w:tcW w:type="dxa" w:w="5184"/>
          </w:tcPr>
          <w:p>
            <w:r>
              <w:t>Database</w:t>
            </w:r>
          </w:p>
        </w:tc>
        <w:tc>
          <w:tcPr>
            <w:tcW w:type="dxa" w:w="5184"/>
          </w:tcPr>
          <w:p>
            <w:r>
              <w:t>PostgreSQL 16+ recommended; exact production version pinned</w:t>
            </w:r>
          </w:p>
        </w:tc>
      </w:tr>
      <w:tr>
        <w:tc>
          <w:tcPr>
            <w:tcW w:type="dxa" w:w="5184"/>
          </w:tcPr>
          <w:p>
            <w:r>
              <w:t>Primary IDs</w:t>
            </w:r>
          </w:p>
        </w:tc>
        <w:tc>
          <w:tcPr>
            <w:tcW w:type="dxa" w:w="5184"/>
          </w:tcPr>
          <w:p>
            <w:r>
              <w:t>UUID</w:t>
            </w:r>
          </w:p>
        </w:tc>
      </w:tr>
      <w:tr>
        <w:tc>
          <w:tcPr>
            <w:tcW w:type="dxa" w:w="5184"/>
          </w:tcPr>
          <w:p>
            <w:r>
              <w:t>Money</w:t>
            </w:r>
          </w:p>
        </w:tc>
        <w:tc>
          <w:tcPr>
            <w:tcW w:type="dxa" w:w="5184"/>
          </w:tcPr>
          <w:p>
            <w:r>
              <w:t>NUMERIC(12,2) minimum</w:t>
            </w:r>
          </w:p>
        </w:tc>
      </w:tr>
      <w:tr>
        <w:tc>
          <w:tcPr>
            <w:tcW w:type="dxa" w:w="5184"/>
          </w:tcPr>
          <w:p>
            <w:r>
              <w:t>Weight</w:t>
            </w:r>
          </w:p>
        </w:tc>
        <w:tc>
          <w:tcPr>
            <w:tcW w:type="dxa" w:w="5184"/>
          </w:tcPr>
          <w:p>
            <w:r>
              <w:t>NUMERIC(12,3)</w:t>
            </w:r>
          </w:p>
        </w:tc>
      </w:tr>
      <w:tr>
        <w:tc>
          <w:tcPr>
            <w:tcW w:type="dxa" w:w="5184"/>
          </w:tcPr>
          <w:p>
            <w:r>
              <w:t>Quantity</w:t>
            </w:r>
          </w:p>
        </w:tc>
        <w:tc>
          <w:tcPr>
            <w:tcW w:type="dxa" w:w="5184"/>
          </w:tcPr>
          <w:p>
            <w:r>
              <w:t>NUMERIC(12,3)</w:t>
            </w:r>
          </w:p>
        </w:tc>
      </w:tr>
      <w:tr>
        <w:tc>
          <w:tcPr>
            <w:tcW w:type="dxa" w:w="5184"/>
          </w:tcPr>
          <w:p>
            <w:r>
              <w:t>UOM factor</w:t>
            </w:r>
          </w:p>
        </w:tc>
        <w:tc>
          <w:tcPr>
            <w:tcW w:type="dxa" w:w="5184"/>
          </w:tcPr>
          <w:p>
            <w:r>
              <w:t>NUMERIC(12,6)</w:t>
            </w:r>
          </w:p>
        </w:tc>
      </w:tr>
      <w:tr>
        <w:tc>
          <w:tcPr>
            <w:tcW w:type="dxa" w:w="5184"/>
          </w:tcPr>
          <w:p>
            <w:r>
              <w:t>Tax rate</w:t>
            </w:r>
          </w:p>
        </w:tc>
        <w:tc>
          <w:tcPr>
            <w:tcW w:type="dxa" w:w="5184"/>
          </w:tcPr>
          <w:p>
            <w:r>
              <w:t>NUMERIC(7,4)</w:t>
            </w:r>
          </w:p>
        </w:tc>
      </w:tr>
      <w:tr>
        <w:tc>
          <w:tcPr>
            <w:tcW w:type="dxa" w:w="5184"/>
          </w:tcPr>
          <w:p>
            <w:r>
              <w:t>Timestamps</w:t>
            </w:r>
          </w:p>
        </w:tc>
        <w:tc>
          <w:tcPr>
            <w:tcW w:type="dxa" w:w="5184"/>
          </w:tcPr>
          <w:p>
            <w:r>
              <w:t>TIMESTAMPTZ</w:t>
            </w:r>
          </w:p>
        </w:tc>
      </w:tr>
      <w:tr>
        <w:tc>
          <w:tcPr>
            <w:tcW w:type="dxa" w:w="5184"/>
          </w:tcPr>
          <w:p>
            <w:r>
              <w:t>Local device DB</w:t>
            </w:r>
          </w:p>
        </w:tc>
        <w:tc>
          <w:tcPr>
            <w:tcW w:type="dxa" w:w="5184"/>
          </w:tcPr>
          <w:p>
            <w:r>
              <w:t>SQLCipher-backed SQLite</w:t>
            </w:r>
          </w:p>
        </w:tc>
      </w:tr>
      <w:tr>
        <w:tc>
          <w:tcPr>
            <w:tcW w:type="dxa" w:w="5184"/>
          </w:tcPr>
          <w:p>
            <w:r>
              <w:t>API</w:t>
            </w:r>
          </w:p>
        </w:tc>
        <w:tc>
          <w:tcPr>
            <w:tcW w:type="dxa" w:w="5184"/>
          </w:tcPr>
          <w:p>
            <w:r>
              <w:t>Go</w:t>
            </w:r>
          </w:p>
        </w:tc>
      </w:tr>
      <w:tr>
        <w:tc>
          <w:tcPr>
            <w:tcW w:type="dxa" w:w="5184"/>
          </w:tcPr>
          <w:p>
            <w:r>
              <w:t>Client</w:t>
            </w:r>
          </w:p>
        </w:tc>
        <w:tc>
          <w:tcPr>
            <w:tcW w:type="dxa" w:w="5184"/>
          </w:tcPr>
          <w:p>
            <w:r>
              <w:t>Flutter</w:t>
            </w:r>
          </w:p>
        </w:tc>
      </w:tr>
      <w:tr>
        <w:tc>
          <w:tcPr>
            <w:tcW w:type="dxa" w:w="5184"/>
          </w:tcPr>
          <w:p>
            <w:r>
              <w:t>Archive</w:t>
            </w:r>
          </w:p>
        </w:tc>
        <w:tc>
          <w:tcPr>
            <w:tcW w:type="dxa" w:w="5184"/>
          </w:tcPr>
          <w:p>
            <w:r>
              <w:t>Cloudflare R2 / S3-compatible object storage</w:t>
            </w:r>
          </w:p>
        </w:tc>
      </w:tr>
      <w:tr>
        <w:tc>
          <w:tcPr>
            <w:tcW w:type="dxa" w:w="5184"/>
          </w:tcPr>
          <w:p>
            <w:r>
              <w:t>Cache/queue</w:t>
            </w:r>
          </w:p>
        </w:tc>
        <w:tc>
          <w:tcPr>
            <w:tcW w:type="dxa" w:w="5184"/>
          </w:tcPr>
          <w:p>
            <w:r>
              <w:t>Redis optional</w:t>
            </w:r>
          </w:p>
        </w:tc>
      </w:tr>
      <w:tr>
        <w:tc>
          <w:tcPr>
            <w:tcW w:type="dxa" w:w="5184"/>
          </w:tcPr>
          <w:p>
            <w:r>
              <w:t>Migrations</w:t>
            </w:r>
          </w:p>
        </w:tc>
        <w:tc>
          <w:tcPr>
            <w:tcW w:type="dxa" w:w="5184"/>
          </w:tcPr>
          <w:p>
            <w:r>
              <w:t>Version-controlled SQL migration framework</w:t>
            </w:r>
          </w:p>
        </w:tc>
      </w:tr>
    </w:tbl>
    <w:p>
      <w:pPr>
        <w:pStyle w:val="Heading1"/>
      </w:pPr>
      <w:r>
        <w:t>3. Naming Conventions</w:t>
      </w:r>
    </w:p>
    <w:p>
      <w:pPr>
        <w:pStyle w:val="ListBullet"/>
      </w:pPr>
      <w:r>
        <w:t>Schema: public unless a deliberate domain schema split is approved.</w:t>
      </w:r>
    </w:p>
    <w:p>
      <w:pPr>
        <w:pStyle w:val="ListBullet"/>
      </w:pPr>
      <w:r>
        <w:t>Table names: plural snake_case.</w:t>
      </w:r>
    </w:p>
    <w:p>
      <w:pPr>
        <w:pStyle w:val="ListBullet"/>
      </w:pPr>
      <w:r>
        <w:t>Column names: singular snake_case.</w:t>
      </w:r>
    </w:p>
    <w:p>
      <w:pPr>
        <w:pStyle w:val="ListBullet"/>
      </w:pPr>
      <w:r>
        <w:t>Primary key: id UUID.</w:t>
      </w:r>
    </w:p>
    <w:p>
      <w:pPr>
        <w:pStyle w:val="ListBullet"/>
      </w:pPr>
      <w:r>
        <w:t>Foreign keys: referenced_table_singular_id.</w:t>
      </w:r>
    </w:p>
    <w:p>
      <w:pPr>
        <w:pStyle w:val="ListBullet"/>
      </w:pPr>
      <w:r>
        <w:t>Tenant key: tenant_id.</w:t>
      </w:r>
    </w:p>
    <w:p>
      <w:pPr>
        <w:pStyle w:val="ListBullet"/>
      </w:pPr>
      <w:r>
        <w:t>Created/updated: created_at, updated_at.</w:t>
      </w:r>
    </w:p>
    <w:p>
      <w:pPr>
        <w:pStyle w:val="ListBullet"/>
      </w:pPr>
      <w:r>
        <w:t>Actor fields: created_by_user_id, updated_by_user_id where applicable.</w:t>
      </w:r>
    </w:p>
    <w:p>
      <w:pPr>
        <w:pStyle w:val="ListBullet"/>
      </w:pPr>
      <w:r>
        <w:t>External references: provider_name + provider_reference or a dedicated integration reference table.</w:t>
      </w:r>
    </w:p>
    <w:p>
      <w:pPr>
        <w:pStyle w:val="ListBullet"/>
      </w:pPr>
      <w:r>
        <w:t>Boolean fields use is_/has_ where appropriate.</w:t>
      </w:r>
    </w:p>
    <w:p>
      <w:pPr>
        <w:pStyle w:val="ListBullet"/>
      </w:pPr>
      <w:r>
        <w:t>Status columns use controlled values validated by CHECK constraints or PostgreSQL enum only when migration stability is acceptable.</w:t>
      </w:r>
    </w:p>
    <w:p>
      <w:pPr>
        <w:pStyle w:val="Heading1"/>
      </w:pPr>
      <w:r>
        <w:t>4. Common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Column</w:t>
            </w:r>
          </w:p>
        </w:tc>
        <w:tc>
          <w:tcPr>
            <w:tcW w:type="dxa" w:w="2592"/>
          </w:tcPr>
          <w:p>
            <w:r>
              <w:t>Type</w:t>
            </w:r>
          </w:p>
        </w:tc>
        <w:tc>
          <w:tcPr>
            <w:tcW w:type="dxa" w:w="2592"/>
          </w:tcPr>
          <w:p>
            <w:r>
              <w:t>Required</w:t>
            </w:r>
          </w:p>
        </w:tc>
        <w:tc>
          <w:tcPr>
            <w:tcW w:type="dxa" w:w="2592"/>
          </w:tcPr>
          <w:p>
            <w:r>
              <w:t>Purpose</w:t>
            </w:r>
          </w:p>
        </w:tc>
      </w:tr>
      <w:tr>
        <w:tc>
          <w:tcPr>
            <w:tcW w:type="dxa" w:w="2592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uuid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Primary identifier</w:t>
            </w:r>
          </w:p>
        </w:tc>
      </w:tr>
      <w:tr>
        <w:tc>
          <w:tcPr>
            <w:tcW w:type="dxa" w:w="2592"/>
          </w:tcPr>
          <w:p>
            <w:r>
              <w:t>tenant_id</w:t>
            </w:r>
          </w:p>
        </w:tc>
        <w:tc>
          <w:tcPr>
            <w:tcW w:type="dxa" w:w="2592"/>
          </w:tcPr>
          <w:p>
            <w:r>
              <w:t>uuid</w:t>
            </w:r>
          </w:p>
        </w:tc>
        <w:tc>
          <w:tcPr>
            <w:tcW w:type="dxa" w:w="2592"/>
          </w:tcPr>
          <w:p>
            <w:r>
              <w:t>YES on tenant-owned tables</w:t>
            </w:r>
          </w:p>
        </w:tc>
        <w:tc>
          <w:tcPr>
            <w:tcW w:type="dxa" w:w="2592"/>
          </w:tcPr>
          <w:p>
            <w:r>
              <w:t>Tenant isolation</w:t>
            </w:r>
          </w:p>
        </w:tc>
      </w:tr>
      <w:tr>
        <w:tc>
          <w:tcPr>
            <w:tcW w:type="dxa" w:w="2592"/>
          </w:tcPr>
          <w:p>
            <w:r>
              <w:t>created_at</w:t>
            </w:r>
          </w:p>
        </w:tc>
        <w:tc>
          <w:tcPr>
            <w:tcW w:type="dxa" w:w="2592"/>
          </w:tcPr>
          <w:p>
            <w:r>
              <w:t>timestamptz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Server creation time</w:t>
            </w:r>
          </w:p>
        </w:tc>
      </w:tr>
      <w:tr>
        <w:tc>
          <w:tcPr>
            <w:tcW w:type="dxa" w:w="2592"/>
          </w:tcPr>
          <w:p>
            <w:r>
              <w:t>updated_at</w:t>
            </w:r>
          </w:p>
        </w:tc>
        <w:tc>
          <w:tcPr>
            <w:tcW w:type="dxa" w:w="2592"/>
          </w:tcPr>
          <w:p>
            <w:r>
              <w:t>timestamptz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Server modification time</w:t>
            </w:r>
          </w:p>
        </w:tc>
      </w:tr>
      <w:tr>
        <w:tc>
          <w:tcPr>
            <w:tcW w:type="dxa" w:w="2592"/>
          </w:tcPr>
          <w:p>
            <w:r>
              <w:t>created_by_user_id</w:t>
            </w:r>
          </w:p>
        </w:tc>
        <w:tc>
          <w:tcPr>
            <w:tcW w:type="dxa" w:w="2592"/>
          </w:tcPr>
          <w:p>
            <w:r>
              <w:t>uuid</w:t>
            </w:r>
          </w:p>
        </w:tc>
        <w:tc>
          <w:tcPr>
            <w:tcW w:type="dxa" w:w="2592"/>
          </w:tcPr>
          <w:p>
            <w:r>
              <w:t>Usually</w:t>
            </w:r>
          </w:p>
        </w:tc>
        <w:tc>
          <w:tcPr>
            <w:tcW w:type="dxa" w:w="2592"/>
          </w:tcPr>
          <w:p>
            <w:r>
              <w:t>Human actor</w:t>
            </w:r>
          </w:p>
        </w:tc>
      </w:tr>
      <w:tr>
        <w:tc>
          <w:tcPr>
            <w:tcW w:type="dxa" w:w="2592"/>
          </w:tcPr>
          <w:p>
            <w:r>
              <w:t>updated_by_user_id</w:t>
            </w:r>
          </w:p>
        </w:tc>
        <w:tc>
          <w:tcPr>
            <w:tcW w:type="dxa" w:w="2592"/>
          </w:tcPr>
          <w:p>
            <w:r>
              <w:t>uuid</w:t>
            </w:r>
          </w:p>
        </w:tc>
        <w:tc>
          <w:tcPr>
            <w:tcW w:type="dxa" w:w="2592"/>
          </w:tcPr>
          <w:p>
            <w:r>
              <w:t>Usually</w:t>
            </w:r>
          </w:p>
        </w:tc>
        <w:tc>
          <w:tcPr>
            <w:tcW w:type="dxa" w:w="2592"/>
          </w:tcPr>
          <w:p>
            <w:r>
              <w:t>Last human actor</w:t>
            </w:r>
          </w:p>
        </w:tc>
      </w:tr>
      <w:tr>
        <w:tc>
          <w:tcPr>
            <w:tcW w:type="dxa" w:w="2592"/>
          </w:tcPr>
          <w:p>
            <w:r>
              <w:t>device_id</w:t>
            </w:r>
          </w:p>
        </w:tc>
        <w:tc>
          <w:tcPr>
            <w:tcW w:type="dxa" w:w="2592"/>
          </w:tcPr>
          <w:p>
            <w:r>
              <w:t>uuid</w:t>
            </w:r>
          </w:p>
        </w:tc>
        <w:tc>
          <w:tcPr>
            <w:tcW w:type="dxa" w:w="2592"/>
          </w:tcPr>
          <w:p>
            <w:r>
              <w:t>Where applicable</w:t>
            </w:r>
          </w:p>
        </w:tc>
        <w:tc>
          <w:tcPr>
            <w:tcW w:type="dxa" w:w="2592"/>
          </w:tcPr>
          <w:p>
            <w:r>
              <w:t>Originating device</w:t>
            </w:r>
          </w:p>
        </w:tc>
      </w:tr>
      <w:tr>
        <w:tc>
          <w:tcPr>
            <w:tcW w:type="dxa" w:w="2592"/>
          </w:tcPr>
          <w:p>
            <w:r>
              <w:t>version</w:t>
            </w:r>
          </w:p>
        </w:tc>
        <w:tc>
          <w:tcPr>
            <w:tcW w:type="dxa" w:w="2592"/>
          </w:tcPr>
          <w:p>
            <w:r>
              <w:t>bigint</w:t>
            </w:r>
          </w:p>
        </w:tc>
        <w:tc>
          <w:tcPr>
            <w:tcW w:type="dxa" w:w="2592"/>
          </w:tcPr>
          <w:p>
            <w:r>
              <w:t>Where mutable</w:t>
            </w:r>
          </w:p>
        </w:tc>
        <w:tc>
          <w:tcPr>
            <w:tcW w:type="dxa" w:w="2592"/>
          </w:tcPr>
          <w:p>
            <w:r>
              <w:t>Optimistic concurrency</w:t>
            </w:r>
          </w:p>
        </w:tc>
      </w:tr>
      <w:tr>
        <w:tc>
          <w:tcPr>
            <w:tcW w:type="dxa" w:w="2592"/>
          </w:tcPr>
          <w:p>
            <w:r>
              <w:t>is_active</w:t>
            </w:r>
          </w:p>
        </w:tc>
        <w:tc>
          <w:tcPr>
            <w:tcW w:type="dxa" w:w="2592"/>
          </w:tcPr>
          <w:p>
            <w:r>
              <w:t>boolean</w:t>
            </w:r>
          </w:p>
        </w:tc>
        <w:tc>
          <w:tcPr>
            <w:tcW w:type="dxa" w:w="2592"/>
          </w:tcPr>
          <w:p>
            <w:r>
              <w:t>Master data</w:t>
            </w:r>
          </w:p>
        </w:tc>
        <w:tc>
          <w:tcPr>
            <w:tcW w:type="dxa" w:w="2592"/>
          </w:tcPr>
          <w:p>
            <w:r>
              <w:t>Soft activation/deactivation</w:t>
            </w:r>
          </w:p>
        </w:tc>
      </w:tr>
      <w:tr>
        <w:tc>
          <w:tcPr>
            <w:tcW w:type="dxa" w:w="2592"/>
          </w:tcPr>
          <w:p>
            <w:r>
              <w:t>deleted_at</w:t>
            </w:r>
          </w:p>
        </w:tc>
        <w:tc>
          <w:tcPr>
            <w:tcW w:type="dxa" w:w="2592"/>
          </w:tcPr>
          <w:p>
            <w:r>
              <w:t>timestamptz</w:t>
            </w:r>
          </w:p>
        </w:tc>
        <w:tc>
          <w:tcPr>
            <w:tcW w:type="dxa" w:w="2592"/>
          </w:tcPr>
          <w:p>
            <w:r>
              <w:t>Only where approved</w:t>
            </w:r>
          </w:p>
        </w:tc>
        <w:tc>
          <w:tcPr>
            <w:tcW w:type="dxa" w:w="2592"/>
          </w:tcPr>
          <w:p>
            <w:r>
              <w:t>Soft deletion; never for finalized financial events</w:t>
            </w:r>
          </w:p>
        </w:tc>
      </w:tr>
    </w:tbl>
    <w:p>
      <w:pPr>
        <w:pStyle w:val="Heading1"/>
      </w:pPr>
      <w:r>
        <w:t>5. Entity Catalogue</w:t>
      </w:r>
    </w:p>
    <w:p>
      <w:pPr>
        <w:pStyle w:val="ListBullet"/>
      </w:pPr>
      <w:r>
        <w:t>Tenant &amp; configuration: tenants, tenant_settings, financial_years, document_series, tenant_features.</w:t>
      </w:r>
    </w:p>
    <w:p>
      <w:pPr>
        <w:pStyle w:val="ListBullet"/>
      </w:pPr>
      <w:r>
        <w:t>Identity: users, roles, permissions, role_permissions, user_roles, devices, device_sessions.</w:t>
      </w:r>
    </w:p>
    <w:p>
      <w:pPr>
        <w:pStyle w:val="ListBullet"/>
      </w:pPr>
      <w:r>
        <w:t>Product: categories, brands, products, product_barcodes, product_aliases, uoms, uom_conversions, product_uoms, price_lists, price_list_items, tax_profiles.</w:t>
      </w:r>
    </w:p>
    <w:p>
      <w:pPr>
        <w:pStyle w:val="ListBullet"/>
      </w:pPr>
      <w:r>
        <w:t>Customer: customer_tiers, customers, customer_addresses, customer_credit_profiles.</w:t>
      </w:r>
    </w:p>
    <w:p>
      <w:pPr>
        <w:pStyle w:val="ListBullet"/>
      </w:pPr>
      <w:r>
        <w:t>Supplier: suppliers, supplier_contacts, supplier_bank_accounts.</w:t>
      </w:r>
    </w:p>
    <w:p>
      <w:pPr>
        <w:pStyle w:val="ListBullet"/>
      </w:pPr>
      <w:r>
        <w:t>Locations: inventory_locations.</w:t>
      </w:r>
    </w:p>
    <w:p>
      <w:pPr>
        <w:pStyle w:val="ListBullet"/>
      </w:pPr>
      <w:r>
        <w:t>Procurement: purchase_orders, purchase_order_lines, goods_receipts, goods_receipt_lines.</w:t>
      </w:r>
    </w:p>
    <w:p>
      <w:pPr>
        <w:pStyle w:val="ListBullet"/>
      </w:pPr>
      <w:r>
        <w:t>Inventory: batches, stock_movements, stock_balances, stock_counts, stock_count_lines, stock_adjustments.</w:t>
      </w:r>
    </w:p>
    <w:p>
      <w:pPr>
        <w:pStyle w:val="ListBullet"/>
      </w:pPr>
      <w:r>
        <w:t>Sales: sales_invoices, sales_invoice_lines, invoice_tax_lines, invoice_batch_allocations, sales_returns, sales_return_lines.</w:t>
      </w:r>
    </w:p>
    <w:p>
      <w:pPr>
        <w:pStyle w:val="ListBullet"/>
      </w:pPr>
      <w:r>
        <w:t>Payments: payment_intents, payments, payment_allocations, payment_webhook_events, refunds, refund_allocations.</w:t>
      </w:r>
    </w:p>
    <w:p>
      <w:pPr>
        <w:pStyle w:val="ListBullet"/>
      </w:pPr>
      <w:r>
        <w:t>Ledgers: customer_ledger_entries, supplier_ledger_entries, journal_entries, journal_lines.</w:t>
      </w:r>
    </w:p>
    <w:p>
      <w:pPr>
        <w:pStyle w:val="ListBullet"/>
      </w:pPr>
      <w:r>
        <w:t>Contra: contra_transactions, contra_lines.</w:t>
      </w:r>
    </w:p>
    <w:p>
      <w:pPr>
        <w:pStyle w:val="ListBullet"/>
      </w:pPr>
      <w:r>
        <w:t>Cash: cash_sessions, cash_movements, eod_sessions.</w:t>
      </w:r>
    </w:p>
    <w:p>
      <w:pPr>
        <w:pStyle w:val="ListBullet"/>
      </w:pPr>
      <w:r>
        <w:t>Notifications: message_templates, notification_jobs, message_deliveries.</w:t>
      </w:r>
    </w:p>
    <w:p>
      <w:pPr>
        <w:pStyle w:val="ListBullet"/>
      </w:pPr>
      <w:r>
        <w:t>Sync: sync_transactions, sync_conflicts, sync_cursors.</w:t>
      </w:r>
    </w:p>
    <w:p>
      <w:pPr>
        <w:pStyle w:val="ListBullet"/>
      </w:pPr>
      <w:r>
        <w:t>Compliance: compliance_documents, compliance_requests, compliance_responses, export_jobs.</w:t>
      </w:r>
    </w:p>
    <w:p>
      <w:pPr>
        <w:pStyle w:val="ListBullet"/>
      </w:pPr>
      <w:r>
        <w:t>Archive: archive_jobs, archive_manifests, archive_objects, archive_restore_tests.</w:t>
      </w:r>
    </w:p>
    <w:p>
      <w:pPr>
        <w:pStyle w:val="ListBullet"/>
      </w:pPr>
      <w:r>
        <w:t>Audit: audit_logs.</w:t>
      </w:r>
    </w:p>
    <w:p>
      <w:pPr>
        <w:pStyle w:val="ListBullet"/>
      </w:pPr>
      <w:r>
        <w:t>Operational: attachments, integration_events, system_jobs.</w:t>
      </w:r>
    </w:p>
    <w:p>
      <w:pPr>
        <w:pStyle w:val="Heading1"/>
      </w:pPr>
      <w:r>
        <w:t>6. Logical ERD — Core</w:t>
      </w:r>
    </w:p>
    <w:p>
      <w:r>
        <w:t>Tenant</w:t>
        <w:br/>
        <w:t>├── Users / Roles / Devices</w:t>
        <w:br/>
        <w:t>├── Products ── UOM / Tax / Price / Batches</w:t>
        <w:br/>
        <w:t>├── Customers ── Credit Profile ── Customer Ledger</w:t>
        <w:br/>
        <w:t>├── Suppliers ── Supplier Ledger</w:t>
        <w:br/>
        <w:t>├── Locations</w:t>
        <w:br/>
        <w:t>├── Purchase Orders ── GRNs ── Batches ── Stock Movements</w:t>
        <w:br/>
        <w:t>├── Sales Invoices ── Lines ── Taxes ── Batch Allocations</w:t>
        <w:br/>
        <w:t>│                    ├── Payments / Allocations</w:t>
        <w:br/>
        <w:t>│                    └── Customer Ledger / Journal</w:t>
        <w:br/>
        <w:t>├── Returns ── Refunds / Stock Movements</w:t>
        <w:br/>
        <w:t>├── Contra Transactions ── Inventory + Customer Ledger</w:t>
        <w:br/>
        <w:t>├── EOD / Cash Movements</w:t>
        <w:br/>
        <w:t>├── Sync Transactions / Conflicts</w:t>
        <w:br/>
        <w:t>├── Compliance / Exports</w:t>
        <w:br/>
        <w:t>└── Audit / Archive</w:t>
      </w:r>
    </w:p>
    <w:p>
      <w:pPr>
        <w:pStyle w:val="Heading1"/>
      </w:pPr>
      <w:r>
        <w:t>7. Tenant &amp; Configuration Tables</w:t>
      </w:r>
    </w:p>
    <w:p>
      <w:pPr>
        <w:pStyle w:val="Heading2"/>
      </w:pPr>
      <w:r>
        <w:t>7.1 tenants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Column</w:t>
            </w:r>
          </w:p>
        </w:tc>
        <w:tc>
          <w:tcPr>
            <w:tcW w:type="dxa" w:w="2592"/>
          </w:tcPr>
          <w:p>
            <w:r>
              <w:t>Type</w:t>
            </w:r>
          </w:p>
        </w:tc>
        <w:tc>
          <w:tcPr>
            <w:tcW w:type="dxa" w:w="2592"/>
          </w:tcPr>
          <w:p>
            <w:r>
              <w:t>Null</w:t>
            </w:r>
          </w:p>
        </w:tc>
        <w:tc>
          <w:tcPr>
            <w:tcW w:type="dxa" w:w="2592"/>
          </w:tcPr>
          <w:p>
            <w:r>
              <w:t>Constraint / Rule</w:t>
            </w:r>
          </w:p>
        </w:tc>
      </w:tr>
      <w:tr>
        <w:tc>
          <w:tcPr>
            <w:tcW w:type="dxa" w:w="2592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uuid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PK</w:t>
            </w:r>
          </w:p>
        </w:tc>
      </w:tr>
      <w:tr>
        <w:tc>
          <w:tcPr>
            <w:tcW w:type="dxa" w:w="2592"/>
          </w:tcPr>
          <w:p>
            <w:r>
              <w:t>legal_name</w:t>
            </w:r>
          </w:p>
        </w:tc>
        <w:tc>
          <w:tcPr>
            <w:tcW w:type="dxa" w:w="2592"/>
          </w:tcPr>
          <w:p>
            <w:r>
              <w:t>varchar(200)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trade_name</w:t>
            </w:r>
          </w:p>
        </w:tc>
        <w:tc>
          <w:tcPr>
            <w:tcW w:type="dxa" w:w="2592"/>
          </w:tcPr>
          <w:p>
            <w:r>
              <w:t>varchar(200)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gstin</w:t>
            </w:r>
          </w:p>
        </w:tc>
        <w:tc>
          <w:tcPr>
            <w:tcW w:type="dxa" w:w="2592"/>
          </w:tcPr>
          <w:p>
            <w:r>
              <w:t>varchar(15)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Unique per tenant scope; validated format</w:t>
            </w:r>
          </w:p>
        </w:tc>
      </w:tr>
      <w:tr>
        <w:tc>
          <w:tcPr>
            <w:tcW w:type="dxa" w:w="2592"/>
          </w:tcPr>
          <w:p>
            <w:r>
              <w:t>fssai_license_no</w:t>
            </w:r>
          </w:p>
        </w:tc>
        <w:tc>
          <w:tcPr>
            <w:tcW w:type="dxa" w:w="2592"/>
          </w:tcPr>
          <w:p>
            <w:r>
              <w:t>varchar(100)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Store only when applicable</w:t>
            </w:r>
          </w:p>
        </w:tc>
      </w:tr>
      <w:tr>
        <w:tc>
          <w:tcPr>
            <w:tcW w:type="dxa" w:w="2592"/>
          </w:tcPr>
          <w:p>
            <w:r>
              <w:t>phone</w:t>
            </w:r>
          </w:p>
        </w:tc>
        <w:tc>
          <w:tcPr>
            <w:tcW w:type="dxa" w:w="2592"/>
          </w:tcPr>
          <w:p>
            <w:r>
              <w:t>varchar(30)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email</w:t>
            </w:r>
          </w:p>
        </w:tc>
        <w:tc>
          <w:tcPr>
            <w:tcW w:type="dxa" w:w="2592"/>
          </w:tcPr>
          <w:p>
            <w:r>
              <w:t>varchar(254)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address_line1</w:t>
            </w:r>
          </w:p>
        </w:tc>
        <w:tc>
          <w:tcPr>
            <w:tcW w:type="dxa" w:w="2592"/>
          </w:tcPr>
          <w:p>
            <w:r>
              <w:t>varchar(250)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address_line2</w:t>
            </w:r>
          </w:p>
        </w:tc>
        <w:tc>
          <w:tcPr>
            <w:tcW w:type="dxa" w:w="2592"/>
          </w:tcPr>
          <w:p>
            <w:r>
              <w:t>varchar(250)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city</w:t>
            </w:r>
          </w:p>
        </w:tc>
        <w:tc>
          <w:tcPr>
            <w:tcW w:type="dxa" w:w="2592"/>
          </w:tcPr>
          <w:p>
            <w:r>
              <w:t>varchar(100)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district</w:t>
            </w:r>
          </w:p>
        </w:tc>
        <w:tc>
          <w:tcPr>
            <w:tcW w:type="dxa" w:w="2592"/>
          </w:tcPr>
          <w:p>
            <w:r>
              <w:t>varchar(100)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state_code</w:t>
            </w:r>
          </w:p>
        </w:tc>
        <w:tc>
          <w:tcPr>
            <w:tcW w:type="dxa" w:w="2592"/>
          </w:tcPr>
          <w:p>
            <w:r>
              <w:t>varchar(10)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Controlled master</w:t>
            </w:r>
          </w:p>
        </w:tc>
      </w:tr>
      <w:tr>
        <w:tc>
          <w:tcPr>
            <w:tcW w:type="dxa" w:w="2592"/>
          </w:tcPr>
          <w:p>
            <w:r>
              <w:t>postal_code</w:t>
            </w:r>
          </w:p>
        </w:tc>
        <w:tc>
          <w:tcPr>
            <w:tcW w:type="dxa" w:w="2592"/>
          </w:tcPr>
          <w:p>
            <w:r>
              <w:t>varchar(20)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country_code</w:t>
            </w:r>
          </w:p>
        </w:tc>
        <w:tc>
          <w:tcPr>
            <w:tcW w:type="dxa" w:w="2592"/>
          </w:tcPr>
          <w:p>
            <w:r>
              <w:t>char(2)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Default IN</w:t>
            </w:r>
          </w:p>
        </w:tc>
      </w:tr>
      <w:tr>
        <w:tc>
          <w:tcPr>
            <w:tcW w:type="dxa" w:w="2592"/>
          </w:tcPr>
          <w:p>
            <w:r>
              <w:t>currency_code</w:t>
            </w:r>
          </w:p>
        </w:tc>
        <w:tc>
          <w:tcPr>
            <w:tcW w:type="dxa" w:w="2592"/>
          </w:tcPr>
          <w:p>
            <w:r>
              <w:t>char(3)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Default INR</w:t>
            </w:r>
          </w:p>
        </w:tc>
      </w:tr>
      <w:tr>
        <w:tc>
          <w:tcPr>
            <w:tcW w:type="dxa" w:w="2592"/>
          </w:tcPr>
          <w:p>
            <w:r>
              <w:t>timezone</w:t>
            </w:r>
          </w:p>
        </w:tc>
        <w:tc>
          <w:tcPr>
            <w:tcW w:type="dxa" w:w="2592"/>
          </w:tcPr>
          <w:p>
            <w:r>
              <w:t>varchar(64)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Default Asia/Kolkata</w:t>
            </w:r>
          </w:p>
        </w:tc>
      </w:tr>
      <w:tr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varchar(30)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ACTIVE/SUSPENDED/CLOSED</w:t>
            </w:r>
          </w:p>
        </w:tc>
      </w:tr>
      <w:tr>
        <w:tc>
          <w:tcPr>
            <w:tcW w:type="dxa" w:w="2592"/>
          </w:tcPr>
          <w:p>
            <w:r>
              <w:t>created_at</w:t>
            </w:r>
          </w:p>
        </w:tc>
        <w:tc>
          <w:tcPr>
            <w:tcW w:type="dxa" w:w="2592"/>
          </w:tcPr>
          <w:p>
            <w:r>
              <w:t>timestamptz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updated_at</w:t>
            </w:r>
          </w:p>
        </w:tc>
        <w:tc>
          <w:tcPr>
            <w:tcW w:type="dxa" w:w="2592"/>
          </w:tcPr>
          <w:p>
            <w:r>
              <w:t>timestamptz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Heading2"/>
      </w:pPr>
      <w:r>
        <w:t>7.2 tenant_settings</w:t>
      </w:r>
    </w:p>
    <w:p>
      <w:pPr>
        <w:pStyle w:val="ListBullet"/>
      </w:pPr>
      <w:r>
        <w:t>Key/value or strongly typed configuration may be used, but security-critical and frequently queried values should have typed columns/tables.</w:t>
      </w:r>
    </w:p>
    <w:p>
      <w:pPr>
        <w:pStyle w:val="ListBullet"/>
      </w:pPr>
      <w:r>
        <w:t>Settings include invoice numbering, financial year, tax behavior, reorder policy, expiry thresholds, Khata grace period, reminder schedules, tare threshold, offline policy, printer/scale policy, payment configuration references and archive retention.</w:t>
      </w:r>
    </w:p>
    <w:p>
      <w:pPr>
        <w:pStyle w:val="ListBullet"/>
      </w:pPr>
      <w:r>
        <w:t>Secrets must never be stored in plaintext here. Store secret references only.</w:t>
      </w:r>
    </w:p>
    <w:p>
      <w:pPr>
        <w:pStyle w:val="Heading2"/>
      </w:pPr>
      <w:r>
        <w:t>7.3 financial_years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Type</w:t>
            </w:r>
          </w:p>
        </w:tc>
        <w:tc>
          <w:tcPr>
            <w:tcW w:type="dxa" w:w="3456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tenant_id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+ RLS</w:t>
            </w:r>
          </w:p>
        </w:tc>
      </w:tr>
      <w:tr>
        <w:tc>
          <w:tcPr>
            <w:tcW w:type="dxa" w:w="3456"/>
          </w:tcPr>
          <w:p>
            <w:r>
              <w:t>label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e.g. FY2026-27</w:t>
            </w:r>
          </w:p>
        </w:tc>
      </w:tr>
      <w:tr>
        <w:tc>
          <w:tcPr>
            <w:tcW w:type="dxa" w:w="3456"/>
          </w:tcPr>
          <w:p>
            <w:r>
              <w:t>start_date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end_date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OPEN/CLOSED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closed_at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</w:tbl>
    <w:p>
      <w:pPr>
        <w:pStyle w:val="Heading2"/>
      </w:pPr>
      <w:r>
        <w:t>7.4 document_series</w:t>
      </w:r>
    </w:p>
    <w:p>
      <w:pPr>
        <w:pStyle w:val="ListBullet"/>
      </w:pPr>
      <w:r>
        <w:t>Separate series per document type where required: INVOICE, CREDIT_NOTE, DEBIT_NOTE, PO, GRN, RECEIPT, RETURN, CONTRA.</w:t>
      </w:r>
    </w:p>
    <w:p>
      <w:pPr>
        <w:pStyle w:val="ListBullet"/>
      </w:pPr>
      <w:r>
        <w:t>Fields: id, tenant_id, financial_year_id, document_type, prefix, next_number, padding, device_allocation_mode, active, created_at, updated_at.</w:t>
      </w:r>
    </w:p>
    <w:p>
      <w:pPr>
        <w:pStyle w:val="ListBullet"/>
      </w:pPr>
      <w:r>
        <w:t>Unique: tenant_id + financial_year_id + document_type + prefix.</w:t>
      </w:r>
    </w:p>
    <w:p>
      <w:pPr>
        <w:pStyle w:val="ListBullet"/>
      </w:pPr>
      <w:r>
        <w:t>Number allocation must be transactional and collision-safe.</w:t>
      </w:r>
    </w:p>
    <w:p>
      <w:pPr>
        <w:pStyle w:val="Heading1"/>
      </w:pPr>
      <w:r>
        <w:t>8. Identity, RBAC &amp; Devices</w:t>
      </w:r>
    </w:p>
    <w:p>
      <w:pPr>
        <w:pStyle w:val="Heading2"/>
      </w:pPr>
      <w:r>
        <w:t>8.1 users</w:t>
      </w:r>
    </w:p>
    <w:p>
      <w:pPr>
        <w:pStyle w:val="ListBullet"/>
      </w:pPr>
      <w:r>
        <w:t>id, tenant_id, username/email/phone identifier, password_hash, display_name, status, last_login_at, failed_login_count, locked_until, created_at, updated_at.</w:t>
      </w:r>
    </w:p>
    <w:p>
      <w:pPr>
        <w:pStyle w:val="ListBullet"/>
      </w:pPr>
      <w:r>
        <w:t>Never store passwords or override PINs in plaintext.</w:t>
      </w:r>
    </w:p>
    <w:p>
      <w:pPr>
        <w:pStyle w:val="Heading2"/>
      </w:pPr>
      <w:r>
        <w:t>8.2 roles / permissions / mappings</w:t>
      </w:r>
    </w:p>
    <w:p>
      <w:pPr>
        <w:pStyle w:val="ListBullet"/>
      </w:pPr>
      <w:r>
        <w:t>roles: id, tenant_id, name, description, is_system_role.</w:t>
      </w:r>
    </w:p>
    <w:p>
      <w:pPr>
        <w:pStyle w:val="ListBullet"/>
      </w:pPr>
      <w:r>
        <w:t>permissions: id, code, description.</w:t>
      </w:r>
    </w:p>
    <w:p>
      <w:pPr>
        <w:pStyle w:val="ListBullet"/>
      </w:pPr>
      <w:r>
        <w:t>role_permissions: role_id, permission_id.</w:t>
      </w:r>
    </w:p>
    <w:p>
      <w:pPr>
        <w:pStyle w:val="ListBullet"/>
      </w:pPr>
      <w:r>
        <w:t>user_roles: user_id, role_id.</w:t>
      </w:r>
    </w:p>
    <w:p>
      <w:pPr>
        <w:pStyle w:val="ListBullet"/>
      </w:pPr>
      <w:r>
        <w:t>System permission codes include invoice.finalize, invoice.cancel, payment.refund, stock.adjust, credit.override, contra.approve, eod.reopen, tax.configure, archive.purge, tenant.admin.</w:t>
      </w:r>
    </w:p>
    <w:p>
      <w:pPr>
        <w:pStyle w:val="Heading2"/>
      </w:pPr>
      <w:r>
        <w:t>8.3 devices</w:t>
      </w:r>
    </w:p>
    <w:p>
      <w:pPr>
        <w:pStyle w:val="ListBullet"/>
      </w:pPr>
      <w:r>
        <w:t>id, tenant_id, device_uuid, display_name, platform, app_version, status, last_seen_at, last_sync_at, registered_at, deactivated_at, security_state.</w:t>
      </w:r>
    </w:p>
    <w:p>
      <w:pPr>
        <w:pStyle w:val="ListBullet"/>
      </w:pPr>
      <w:r>
        <w:t>Unique tenant_id + device_uuid.</w:t>
      </w:r>
    </w:p>
    <w:p>
      <w:pPr>
        <w:pStyle w:val="ListBullet"/>
      </w:pPr>
      <w:r>
        <w:t>Device deactivation must prevent future sync.</w:t>
      </w:r>
    </w:p>
    <w:p>
      <w:pPr>
        <w:pStyle w:val="Heading1"/>
      </w:pPr>
      <w:r>
        <w:t>9. Product &amp; UOM Model</w:t>
      </w:r>
    </w:p>
    <w:p>
      <w:pPr>
        <w:pStyle w:val="Heading2"/>
      </w:pPr>
      <w:r>
        <w:t>9.1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Type</w:t>
            </w:r>
          </w:p>
        </w:tc>
        <w:tc>
          <w:tcPr>
            <w:tcW w:type="dxa" w:w="3456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tenant_id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RLS</w:t>
            </w:r>
          </w:p>
        </w:tc>
      </w:tr>
      <w:tr>
        <w:tc>
          <w:tcPr>
            <w:tcW w:type="dxa" w:w="3456"/>
          </w:tcPr>
          <w:p>
            <w:r>
              <w:t>sku</w:t>
            </w:r>
          </w:p>
        </w:tc>
        <w:tc>
          <w:tcPr>
            <w:tcW w:type="dxa" w:w="3456"/>
          </w:tcPr>
          <w:p>
            <w:r>
              <w:t>varchar(80)</w:t>
            </w:r>
          </w:p>
        </w:tc>
        <w:tc>
          <w:tcPr>
            <w:tcW w:type="dxa" w:w="3456"/>
          </w:tcPr>
          <w:p>
            <w:r>
              <w:t>Unique tenant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local_name_ta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brand_id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default_sale_uom_id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base_inventory_uom_id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hsn_code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tax_profile_id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reorder_level</w:t>
            </w:r>
          </w:p>
        </w:tc>
        <w:tc>
          <w:tcPr>
            <w:tcW w:type="dxa" w:w="3456"/>
          </w:tcPr>
          <w:p>
            <w:r>
              <w:t>numeric(12,3)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reorder_target</w:t>
            </w:r>
          </w:p>
        </w:tc>
        <w:tc>
          <w:tcPr>
            <w:tcW w:type="dxa" w:w="3456"/>
          </w:tcPr>
          <w:p>
            <w:r>
              <w:t>numeric(12,3)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batch_required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expiry_required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</w:tbl>
    <w:p>
      <w:pPr>
        <w:pStyle w:val="Heading2"/>
      </w:pPr>
      <w:r>
        <w:t>9.2 product_barcodes</w:t>
      </w:r>
    </w:p>
    <w:p>
      <w:pPr>
        <w:pStyle w:val="ListBullet"/>
      </w:pPr>
      <w:r>
        <w:t>id, tenant_id, product_id, barcode, barcode_type, is_primary, active, created_at.</w:t>
      </w:r>
    </w:p>
    <w:p>
      <w:pPr>
        <w:pStyle w:val="ListBullet"/>
      </w:pPr>
      <w:r>
        <w:t>Unique tenant_id + barcode.</w:t>
      </w:r>
    </w:p>
    <w:p>
      <w:pPr>
        <w:pStyle w:val="Heading2"/>
      </w:pPr>
      <w:r>
        <w:t>9.3 product_aliases</w:t>
      </w:r>
    </w:p>
    <w:p>
      <w:pPr>
        <w:pStyle w:val="ListBullet"/>
      </w:pPr>
      <w:r>
        <w:t>id, tenant_id, product_id, alias_text, normalized_text, language_code, script_code, alias_type, region_code, priority, active, created_at, updated_at.</w:t>
      </w:r>
    </w:p>
    <w:p>
      <w:pPr>
        <w:pStyle w:val="ListBullet"/>
      </w:pPr>
      <w:r>
        <w:t>Supports colloquial Tamil, transliteration, phonetic shorthand, English aliases and shop-specific terms.</w:t>
      </w:r>
    </w:p>
    <w:p>
      <w:pPr>
        <w:pStyle w:val="Heading2"/>
      </w:pPr>
      <w:r>
        <w:t>9.4 uoms / uom_conversions / product_uoms</w:t>
      </w:r>
    </w:p>
    <w:p>
      <w:pPr>
        <w:pStyle w:val="ListBullet"/>
      </w:pPr>
      <w:r>
        <w:t>uoms: id, tenant_id/global, code, name, symbol, dimension, decimal_scale, active.</w:t>
      </w:r>
    </w:p>
    <w:p>
      <w:pPr>
        <w:pStyle w:val="ListBullet"/>
      </w:pPr>
      <w:r>
        <w:t>uom_conversions: from_uom_id, to_uom_id, factor NUMERIC(12,6), effective dates, product-specific flag, product_id nullable.</w:t>
      </w:r>
    </w:p>
    <w:p>
      <w:pPr>
        <w:pStyle w:val="ListBullet"/>
      </w:pPr>
      <w:r>
        <w:t>product_uoms: product_id, uom_id, purchase/sale/inventory flags, pack_size, standard_weight_kg NUMERIC(12,3), conversion_to_base NUMERIC(12,6).</w:t>
      </w:r>
    </w:p>
    <w:p>
      <w:pPr>
        <w:pStyle w:val="ListBullet"/>
      </w:pPr>
      <w:r>
        <w:t>Never change historical conversion semantics; new effective-dated conversion rows are created.</w:t>
      </w:r>
    </w:p>
    <w:p>
      <w:pPr>
        <w:pStyle w:val="Heading2"/>
      </w:pPr>
      <w:r>
        <w:t>9.5 categories / brands</w:t>
      </w:r>
    </w:p>
    <w:p>
      <w:pPr>
        <w:pStyle w:val="ListBullet"/>
      </w:pPr>
      <w:r>
        <w:t>Standard master entities with id, tenant_id, name, local_name, active, timestamps.</w:t>
      </w:r>
    </w:p>
    <w:p>
      <w:pPr>
        <w:pStyle w:val="Heading1"/>
      </w:pPr>
      <w:r>
        <w:t>10. Tax &amp; Pricing</w:t>
      </w:r>
    </w:p>
    <w:p>
      <w:pPr>
        <w:pStyle w:val="Heading2"/>
      </w:pPr>
      <w:r>
        <w:t>10.1 tax_profiles</w:t>
      </w:r>
    </w:p>
    <w:p>
      <w:pPr>
        <w:pStyle w:val="ListBullet"/>
      </w:pPr>
      <w:r>
        <w:t>id, tenant_id, code, description, supply_type, hsn_applicability, cgst_rate NUMERIC(7,4), sgst_rate NUMERIC(7,4), igst_rate NUMERIC(7,4), cess_rate, exemption_type, effective_from, effective_to, active.</w:t>
      </w:r>
    </w:p>
    <w:p>
      <w:pPr>
        <w:pStyle w:val="ListBullet"/>
      </w:pPr>
      <w:r>
        <w:t>Tax profile is configuration and must be approved before use.</w:t>
      </w:r>
    </w:p>
    <w:p>
      <w:pPr>
        <w:pStyle w:val="Heading2"/>
      </w:pPr>
      <w:r>
        <w:t>10.2 price_lists / price_list_items</w:t>
      </w:r>
    </w:p>
    <w:p>
      <w:pPr>
        <w:pStyle w:val="ListBullet"/>
      </w:pPr>
      <w:r>
        <w:t>Price list: id, tenant_id, name, customer_tier_id nullable, currency_code, effective dates, priority, active.</w:t>
      </w:r>
    </w:p>
    <w:p>
      <w:pPr>
        <w:pStyle w:val="ListBullet"/>
      </w:pPr>
      <w:r>
        <w:t>Item: price_list_id, product_id, uom_id, unit_price NUMERIC(12,2), minimum_quantity, discount_type/value, effective dates.</w:t>
      </w:r>
    </w:p>
    <w:p>
      <w:pPr>
        <w:pStyle w:val="ListBullet"/>
      </w:pPr>
      <w:r>
        <w:t>Precedence must be deterministic: customer-specific &gt; tier &gt; default, subject to product/tenant rules.</w:t>
      </w:r>
    </w:p>
    <w:p>
      <w:pPr>
        <w:pStyle w:val="Heading2"/>
      </w:pPr>
      <w:r>
        <w:t>10.3 customer_tiers</w:t>
      </w:r>
    </w:p>
    <w:p>
      <w:pPr>
        <w:pStyle w:val="ListBullet"/>
      </w:pPr>
      <w:r>
        <w:t>id, tenant_id, code, name, default_discount_type/value, credit_allowed, priority, active.</w:t>
      </w:r>
    </w:p>
    <w:p>
      <w:pPr>
        <w:pStyle w:val="Heading1"/>
      </w:pPr>
      <w:r>
        <w:t>11. Customer &amp; Khata</w:t>
      </w:r>
    </w:p>
    <w:p>
      <w:pPr>
        <w:pStyle w:val="Heading2"/>
      </w:pPr>
      <w:r>
        <w:t>11.1 customers</w:t>
      </w:r>
    </w:p>
    <w:p>
      <w:pPr>
        <w:pStyle w:val="ListBullet"/>
      </w:pPr>
      <w:r>
        <w:t>id, tenant_id, customer_code, name, local_name, phone, whatsapp_phone, email, gstin nullable, customer_type, tier_id, status, notes, created_at, updated_at.</w:t>
      </w:r>
    </w:p>
    <w:p>
      <w:pPr>
        <w:pStyle w:val="ListBullet"/>
      </w:pPr>
      <w:r>
        <w:t>Phone/WhatsApp fields require appropriate privacy/access controls.</w:t>
      </w:r>
    </w:p>
    <w:p>
      <w:pPr>
        <w:pStyle w:val="Heading2"/>
      </w:pPr>
      <w:r>
        <w:t>11.2 customer_credit_profiles</w:t>
      </w:r>
    </w:p>
    <w:p>
      <w:pPr>
        <w:pStyle w:val="ListBullet"/>
      </w:pPr>
      <w:r>
        <w:t>customer_id PK/FK, tenant_id, credit_limit NUMERIC(12,2), payment_terms_days, grace_days, risk_status, offline_credit_limit, override_required_above, effective dates, updated_by.</w:t>
      </w:r>
    </w:p>
    <w:p>
      <w:pPr>
        <w:pStyle w:val="ListBullet"/>
      </w:pPr>
      <w:r>
        <w:t>Available credit is derived from posted receivables and approved credit rules, not a manually editable balance.</w:t>
      </w:r>
    </w:p>
    <w:p>
      <w:pPr>
        <w:pStyle w:val="Heading2"/>
      </w:pPr>
      <w:r>
        <w:t>11.3 customer_addresses</w:t>
      </w:r>
    </w:p>
    <w:p>
      <w:pPr>
        <w:pStyle w:val="ListBullet"/>
      </w:pPr>
      <w:r>
        <w:t>id, tenant_id, customer_id, address type, address fields, state_code, postal_code, is_default.</w:t>
      </w:r>
    </w:p>
    <w:p>
      <w:pPr>
        <w:pStyle w:val="Heading2"/>
      </w:pPr>
      <w:r>
        <w:t>11.4 customer_ledger_entries</w:t>
      </w:r>
    </w:p>
    <w:p>
      <w:pPr>
        <w:pStyle w:val="ListBullet"/>
      </w:pPr>
      <w:r>
        <w:t>id, tenant_id, customer_id, entry_date, document_type, document_id, debit NUMERIC(12,2), credit NUMERIC(12,2), running_balance optional projection, currency_code, description, reversal_of_id, created_at.</w:t>
      </w:r>
    </w:p>
    <w:p>
      <w:pPr>
        <w:pStyle w:val="ListBullet"/>
      </w:pPr>
      <w:r>
        <w:t>Ledger rows are append-oriented. Reversal creates a compensating entry.</w:t>
      </w:r>
    </w:p>
    <w:p>
      <w:r>
        <w:t>Customer balance = sum(debits) - sum(credits) over posted entries, with performance indexes/materialized balance allowed.</w:t>
      </w:r>
    </w:p>
    <w:p>
      <w:pPr>
        <w:pStyle w:val="Heading1"/>
      </w:pPr>
      <w:r>
        <w:t>12. Supplier &amp; Payables</w:t>
      </w:r>
    </w:p>
    <w:p>
      <w:pPr>
        <w:pStyle w:val="Heading2"/>
      </w:pPr>
      <w:r>
        <w:t>12.1 suppliers</w:t>
      </w:r>
    </w:p>
    <w:p>
      <w:pPr>
        <w:pStyle w:val="ListBullet"/>
      </w:pPr>
      <w:r>
        <w:t>id, tenant_id, supplier_code, legal_name, trade_name, gstin, phone, email, address, payment_terms_days, credit_limit, status, timestamps.</w:t>
      </w:r>
    </w:p>
    <w:p>
      <w:pPr>
        <w:pStyle w:val="Heading2"/>
      </w:pPr>
      <w:r>
        <w:t>12.2 supplier_contacts / supplier_bank_accounts</w:t>
      </w:r>
    </w:p>
    <w:p>
      <w:pPr>
        <w:pStyle w:val="ListBullet"/>
      </w:pPr>
      <w:r>
        <w:t>Contacts and bank/settlement details are permission-restricted.</w:t>
      </w:r>
    </w:p>
    <w:p>
      <w:pPr>
        <w:pStyle w:val="ListBullet"/>
      </w:pPr>
      <w:r>
        <w:t>Store only required banking data; encrypt sensitive fields where applicable.</w:t>
      </w:r>
    </w:p>
    <w:p>
      <w:pPr>
        <w:pStyle w:val="Heading2"/>
      </w:pPr>
      <w:r>
        <w:t>12.3 supplier_ledger_entries</w:t>
      </w:r>
    </w:p>
    <w:p>
      <w:pPr>
        <w:pStyle w:val="ListBullet"/>
      </w:pPr>
      <w:r>
        <w:t>Same append-oriented pattern as customer ledger: purchases/payables are debits/credits according to accounting convention; receipts/payments reverse the payable balance.</w:t>
      </w:r>
    </w:p>
    <w:p>
      <w:pPr>
        <w:pStyle w:val="Heading1"/>
      </w:pPr>
      <w:r>
        <w:t>13. Inventory Locations</w:t>
      </w:r>
    </w:p>
    <w:p>
      <w:pPr>
        <w:pStyle w:val="ListBullet"/>
      </w:pPr>
      <w:r>
        <w:t>inventory_locations: id, tenant_id, code, name, location_type (SHOP/GODOWN/TRANSIT/QUARANTINE/RETURN), active.</w:t>
      </w:r>
    </w:p>
    <w:p>
      <w:pPr>
        <w:pStyle w:val="ListBullet"/>
      </w:pPr>
      <w:r>
        <w:t>Unique tenant_id + code.</w:t>
      </w:r>
    </w:p>
    <w:p>
      <w:pPr>
        <w:pStyle w:val="Heading1"/>
      </w:pPr>
      <w:r>
        <w:t>14. Procurement</w:t>
      </w:r>
    </w:p>
    <w:p>
      <w:pPr>
        <w:pStyle w:val="Heading2"/>
      </w:pPr>
      <w:r>
        <w:t>14.1 purchase_orders</w:t>
      </w:r>
    </w:p>
    <w:p>
      <w:pPr>
        <w:pStyle w:val="ListBullet"/>
      </w:pPr>
      <w:r>
        <w:t>id, tenant_id, financial_year_id, po_number, supplier_id, status, order_date, expected_date, currency_code, subtotal, tax_total, grand_total, notes, approved_by, approved_at, created_by, timestamps.</w:t>
      </w:r>
    </w:p>
    <w:p>
      <w:pPr>
        <w:pStyle w:val="Heading2"/>
      </w:pPr>
      <w:r>
        <w:t>14.2 purchase_order_lines</w:t>
      </w:r>
    </w:p>
    <w:p>
      <w:pPr>
        <w:pStyle w:val="ListBullet"/>
      </w:pPr>
      <w:r>
        <w:t>id, tenant_id, purchase_order_id, line_no, product_id, uom_id, ordered_qty NUMERIC(12,3), unit_cost NUMERIC(12,2), discount, tax_profile_id, expected_tax, line_total, received_qty, status.</w:t>
      </w:r>
    </w:p>
    <w:p>
      <w:pPr>
        <w:pStyle w:val="Heading2"/>
      </w:pPr>
      <w:r>
        <w:t>14.3 goods_receipts / goods_receipt_lines</w:t>
      </w:r>
    </w:p>
    <w:p>
      <w:pPr>
        <w:pStyle w:val="ListBullet"/>
      </w:pPr>
      <w:r>
        <w:t>GRN header: id, tenant_id, financial_year_id, grn_number, supplier_id, purchase_order_id nullable, supplier_document_no, received_at, vehicle_no, receiver_user_id, status, gross_weight_kg, tare_weight_kg, net_weight_kg, tare_method, tare_threshold_pct, override fields.</w:t>
      </w:r>
    </w:p>
    <w:p>
      <w:pPr>
        <w:pStyle w:val="ListBullet"/>
      </w:pPr>
      <w:r>
        <w:t>Line: product, batch, location, received_qty, received_uom, gross_weight, tare_weight, net_weight, unit_cost, tax profile, quality_status, accepted/rejected quantities.</w:t>
      </w:r>
    </w:p>
    <w:p>
      <w:pPr>
        <w:pStyle w:val="ListBullet"/>
      </w:pPr>
      <w:r>
        <w:t>Tare threshold must be checked before posting. Override requires permission and audit.</w:t>
      </w:r>
    </w:p>
    <w:p>
      <w:pPr>
        <w:pStyle w:val="Heading1"/>
      </w:pPr>
      <w:r>
        <w:t>15. Batches</w:t>
      </w:r>
    </w:p>
    <w:p>
      <w:pPr>
        <w:pStyle w:val="ListBullet"/>
      </w:pPr>
      <w:r>
        <w:t>batches: id, tenant_id, product_id, supplier_id, grn_line_id, batch_code, manufacture_date, expiry_date, received_date, received_qty, received_uom_id, unit_cost, location_id, quality_status, status, created_at, updated_at.</w:t>
      </w:r>
    </w:p>
    <w:p>
      <w:pPr>
        <w:pStyle w:val="ListBullet"/>
      </w:pPr>
      <w:r>
        <w:t>Unique tenant_id + product_id + batch_code where batch codes are supplier-provided; duplicate handling must support legitimate repeated supplier batch codes only with a documented rule.</w:t>
      </w:r>
    </w:p>
    <w:p>
      <w:pPr>
        <w:pStyle w:val="ListBullet"/>
      </w:pPr>
      <w:r>
        <w:t>Batch status: ACTIVE, NEAR_EXPIRY, EXPIRED, QUARANTINED, DEPLETED, CLOSED.</w:t>
      </w:r>
    </w:p>
    <w:p>
      <w:r>
        <w:t>Batch availability must exclude expired/quarantined/blocked quantities. FEFO can be enabled as a tenant/product policy; FIFO remains supported.</w:t>
      </w:r>
    </w:p>
    <w:p>
      <w:pPr>
        <w:pStyle w:val="Heading1"/>
      </w:pPr>
      <w:r>
        <w:t>16. Stock Ledger</w:t>
      </w:r>
    </w:p>
    <w:p>
      <w:pPr>
        <w:pStyle w:val="Heading2"/>
      </w:pPr>
      <w:r>
        <w:t>16.1 stock_movements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Type</w:t>
            </w:r>
          </w:p>
        </w:tc>
        <w:tc>
          <w:tcPr>
            <w:tcW w:type="dxa" w:w="3456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tenant_id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RLS</w:t>
            </w:r>
          </w:p>
        </w:tc>
      </w:tr>
      <w:tr>
        <w:tc>
          <w:tcPr>
            <w:tcW w:type="dxa" w:w="3456"/>
          </w:tcPr>
          <w:p>
            <w:r>
              <w:t>movement_time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Server time</w:t>
            </w:r>
          </w:p>
        </w:tc>
      </w:tr>
      <w:tr>
        <w:tc>
          <w:tcPr>
            <w:tcW w:type="dxa" w:w="3456"/>
          </w:tcPr>
          <w:p>
            <w:r>
              <w:t>product_id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batch_id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location_id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uom_id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quantity</w:t>
            </w:r>
          </w:p>
        </w:tc>
        <w:tc>
          <w:tcPr>
            <w:tcW w:type="dxa" w:w="3456"/>
          </w:tcPr>
          <w:p>
            <w:r>
              <w:t>numeric(12,3)</w:t>
            </w:r>
          </w:p>
        </w:tc>
        <w:tc>
          <w:tcPr>
            <w:tcW w:type="dxa" w:w="3456"/>
          </w:tcPr>
          <w:p>
            <w:r>
              <w:t>Positive magnitude</w:t>
            </w:r>
          </w:p>
        </w:tc>
      </w:tr>
      <w:tr>
        <w:tc>
          <w:tcPr>
            <w:tcW w:type="dxa" w:w="3456"/>
          </w:tcPr>
          <w:p>
            <w:r>
              <w:t>signed_quantity</w:t>
            </w:r>
          </w:p>
        </w:tc>
        <w:tc>
          <w:tcPr>
            <w:tcW w:type="dxa" w:w="3456"/>
          </w:tcPr>
          <w:p>
            <w:r>
              <w:t>numeric(12,3)</w:t>
            </w:r>
          </w:p>
        </w:tc>
        <w:tc>
          <w:tcPr>
            <w:tcW w:type="dxa" w:w="3456"/>
          </w:tcPr>
          <w:p>
            <w:r>
              <w:t>Positive receipt / negative issue</w:t>
            </w:r>
          </w:p>
        </w:tc>
      </w:tr>
      <w:tr>
        <w:tc>
          <w:tcPr>
            <w:tcW w:type="dxa" w:w="3456"/>
          </w:tcPr>
          <w:p>
            <w:r>
              <w:t>movement_type</w:t>
            </w:r>
          </w:p>
        </w:tc>
        <w:tc>
          <w:tcPr>
            <w:tcW w:type="dxa" w:w="3456"/>
          </w:tcPr>
          <w:p>
            <w:r>
              <w:t>varchar(40)</w:t>
            </w:r>
          </w:p>
        </w:tc>
        <w:tc>
          <w:tcPr>
            <w:tcW w:type="dxa" w:w="3456"/>
          </w:tcPr>
          <w:p>
            <w:r>
              <w:t>Controlled</w:t>
            </w:r>
          </w:p>
        </w:tc>
      </w:tr>
      <w:tr>
        <w:tc>
          <w:tcPr>
            <w:tcW w:type="dxa" w:w="3456"/>
          </w:tcPr>
          <w:p>
            <w:r>
              <w:t>source_type</w:t>
            </w:r>
          </w:p>
        </w:tc>
        <w:tc>
          <w:tcPr>
            <w:tcW w:type="dxa" w:w="3456"/>
          </w:tcPr>
          <w:p>
            <w:r>
              <w:t>varchar(40)</w:t>
            </w:r>
          </w:p>
        </w:tc>
        <w:tc>
          <w:tcPr>
            <w:tcW w:type="dxa" w:w="3456"/>
          </w:tcPr>
          <w:p>
            <w:r>
              <w:t>Invoice/GRN/Return/etc.</w:t>
            </w:r>
          </w:p>
        </w:tc>
      </w:tr>
      <w:tr>
        <w:tc>
          <w:tcPr>
            <w:tcW w:type="dxa" w:w="3456"/>
          </w:tcPr>
          <w:p>
            <w:r>
              <w:t>source_id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source_line_id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unit_cost</w:t>
            </w:r>
          </w:p>
        </w:tc>
        <w:tc>
          <w:tcPr>
            <w:tcW w:type="dxa" w:w="3456"/>
          </w:tcPr>
          <w:p>
            <w:r>
              <w:t>numeric(12,2)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reason_code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device_id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created_by_user_id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</w:tbl>
    <w:p>
      <w:pPr>
        <w:pStyle w:val="Heading2"/>
      </w:pPr>
      <w:r>
        <w:t>16.2 stock_balances</w:t>
      </w:r>
    </w:p>
    <w:p>
      <w:pPr>
        <w:pStyle w:val="ListBullet"/>
      </w:pPr>
      <w:r>
        <w:t>Projection/cache keyed by tenant_id + product_id + batch_id + location_id + uom_id.</w:t>
      </w:r>
    </w:p>
    <w:p>
      <w:pPr>
        <w:pStyle w:val="ListBullet"/>
      </w:pPr>
      <w:r>
        <w:t>May contain on_hand, reserved, available, damaged, quarantine quantities.</w:t>
      </w:r>
    </w:p>
    <w:p>
      <w:pPr>
        <w:pStyle w:val="ListBullet"/>
      </w:pPr>
      <w:r>
        <w:t>Must be reconcilable to stock_movements; never treat a manually edited balance as authoritative.</w:t>
      </w:r>
    </w:p>
    <w:p>
      <w:pPr>
        <w:pStyle w:val="Heading2"/>
      </w:pPr>
      <w:r>
        <w:t>16.3 stock_counts / stock_count_lines</w:t>
      </w:r>
    </w:p>
    <w:p>
      <w:pPr>
        <w:pStyle w:val="ListBullet"/>
      </w:pPr>
      <w:r>
        <w:t>Count session header: location, started_at, status, counter, approver.</w:t>
      </w:r>
    </w:p>
    <w:p>
      <w:pPr>
        <w:pStyle w:val="ListBullet"/>
      </w:pPr>
      <w:r>
        <w:t>Line: product, batch, expected_qty, counted_qty, variance_qty, variance_value, reason.</w:t>
      </w:r>
    </w:p>
    <w:p>
      <w:pPr>
        <w:pStyle w:val="ListBullet"/>
      </w:pPr>
      <w:r>
        <w:t>Posting creates stock_adjustment/stock_movement events; it does not overwrite balances.</w:t>
      </w:r>
    </w:p>
    <w:p>
      <w:pPr>
        <w:pStyle w:val="Heading1"/>
      </w:pPr>
      <w:r>
        <w:t>17. Sales &amp; POS</w:t>
      </w:r>
    </w:p>
    <w:p>
      <w:pPr>
        <w:pStyle w:val="Heading2"/>
      </w:pPr>
      <w:r>
        <w:t>17.1 sales_invoices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Type</w:t>
            </w:r>
          </w:p>
        </w:tc>
        <w:tc>
          <w:tcPr>
            <w:tcW w:type="dxa" w:w="3456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tenant_id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RLS</w:t>
            </w:r>
          </w:p>
        </w:tc>
      </w:tr>
      <w:tr>
        <w:tc>
          <w:tcPr>
            <w:tcW w:type="dxa" w:w="3456"/>
          </w:tcPr>
          <w:p>
            <w:r>
              <w:t>financial_year_id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invoice_number</w:t>
            </w:r>
          </w:p>
        </w:tc>
        <w:tc>
          <w:tcPr>
            <w:tcW w:type="dxa" w:w="3456"/>
          </w:tcPr>
          <w:p>
            <w:r>
              <w:t>varchar(60)</w:t>
            </w:r>
          </w:p>
        </w:tc>
        <w:tc>
          <w:tcPr>
            <w:tcW w:type="dxa" w:w="3456"/>
          </w:tcPr>
          <w:p>
            <w:r>
              <w:t>Unique tenant + FY + series</w:t>
            </w:r>
          </w:p>
        </w:tc>
      </w:tr>
      <w:tr>
        <w:tc>
          <w:tcPr>
            <w:tcW w:type="dxa" w:w="3456"/>
          </w:tcPr>
          <w:p>
            <w:r>
              <w:t>invoice_date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  <w:tr>
        <w:tc>
          <w:tcPr>
            <w:tcW w:type="dxa" w:w="3456"/>
          </w:tcPr>
          <w:p>
            <w:r>
              <w:t>customer_id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Nullable for walk-in</w:t>
            </w:r>
          </w:p>
        </w:tc>
      </w:tr>
      <w:tr>
        <w:tc>
          <w:tcPr>
            <w:tcW w:type="dxa" w:w="3456"/>
          </w:tcPr>
          <w:p>
            <w:r>
              <w:t>customer_name_snapshot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Snapshot</w:t>
            </w:r>
          </w:p>
        </w:tc>
      </w:tr>
      <w:tr>
        <w:tc>
          <w:tcPr>
            <w:tcW w:type="dxa" w:w="3456"/>
          </w:tcPr>
          <w:p>
            <w:r>
              <w:t>customer_gstin_snapshot</w:t>
            </w:r>
          </w:p>
        </w:tc>
        <w:tc>
          <w:tcPr>
            <w:tcW w:type="dxa" w:w="3456"/>
          </w:tcPr>
          <w:p>
            <w:r>
              <w:t>varchar(15)</w:t>
            </w:r>
          </w:p>
        </w:tc>
        <w:tc>
          <w:tcPr>
            <w:tcW w:type="dxa" w:w="3456"/>
          </w:tcPr>
          <w:p>
            <w:r>
              <w:t>Snapshot nullable</w:t>
            </w:r>
          </w:p>
        </w:tc>
      </w:tr>
      <w:tr>
        <w:tc>
          <w:tcPr>
            <w:tcW w:type="dxa" w:w="3456"/>
          </w:tcPr>
          <w:p>
            <w:r>
              <w:t>place_of_supply</w:t>
            </w:r>
          </w:p>
        </w:tc>
        <w:tc>
          <w:tcPr>
            <w:tcW w:type="dxa" w:w="3456"/>
          </w:tcPr>
          <w:p>
            <w:r>
              <w:t>varchar(10)</w:t>
            </w:r>
          </w:p>
        </w:tc>
        <w:tc>
          <w:tcPr>
            <w:tcW w:type="dxa" w:w="3456"/>
          </w:tcPr>
          <w:p>
            <w:r>
              <w:t>Snapshot</w:t>
            </w:r>
          </w:p>
        </w:tc>
      </w:tr>
      <w:tr>
        <w:tc>
          <w:tcPr>
            <w:tcW w:type="dxa" w:w="3456"/>
          </w:tcPr>
          <w:p>
            <w:r>
              <w:t>subtotal</w:t>
            </w:r>
          </w:p>
        </w:tc>
        <w:tc>
          <w:tcPr>
            <w:tcW w:type="dxa" w:w="3456"/>
          </w:tcPr>
          <w:p>
            <w:r>
              <w:t>numeric(12,2)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discount_total</w:t>
            </w:r>
          </w:p>
        </w:tc>
        <w:tc>
          <w:tcPr>
            <w:tcW w:type="dxa" w:w="3456"/>
          </w:tcPr>
          <w:p>
            <w:r>
              <w:t>numeric(12,2)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taxable_total</w:t>
            </w:r>
          </w:p>
        </w:tc>
        <w:tc>
          <w:tcPr>
            <w:tcW w:type="dxa" w:w="3456"/>
          </w:tcPr>
          <w:p>
            <w:r>
              <w:t>numeric(12,2)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tax_total</w:t>
            </w:r>
          </w:p>
        </w:tc>
        <w:tc>
          <w:tcPr>
            <w:tcW w:type="dxa" w:w="3456"/>
          </w:tcPr>
          <w:p>
            <w:r>
              <w:t>numeric(12,2)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rounding_amount</w:t>
            </w:r>
          </w:p>
        </w:tc>
        <w:tc>
          <w:tcPr>
            <w:tcW w:type="dxa" w:w="3456"/>
          </w:tcPr>
          <w:p>
            <w:r>
              <w:t>numeric(12,2)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grand_total</w:t>
            </w:r>
          </w:p>
        </w:tc>
        <w:tc>
          <w:tcPr>
            <w:tcW w:type="dxa" w:w="3456"/>
          </w:tcPr>
          <w:p>
            <w:r>
              <w:t>numeric(12,2)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payment_status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UNPAID/PARTIAL/PAID/CREDIT/REFUNDED/etc.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DRAFT/FINALIZED/CANCELLED</w:t>
            </w:r>
          </w:p>
        </w:tc>
      </w:tr>
      <w:tr>
        <w:tc>
          <w:tcPr>
            <w:tcW w:type="dxa" w:w="3456"/>
          </w:tcPr>
          <w:p>
            <w:r>
              <w:t>source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ONLINE/OFFLINE</w:t>
            </w:r>
          </w:p>
        </w:tc>
      </w:tr>
      <w:tr>
        <w:tc>
          <w:tcPr>
            <w:tcW w:type="dxa" w:w="3456"/>
          </w:tcPr>
          <w:p>
            <w:r>
              <w:t>client_transaction_id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Idempotency</w:t>
            </w:r>
          </w:p>
        </w:tc>
      </w:tr>
      <w:tr>
        <w:tc>
          <w:tcPr>
            <w:tcW w:type="dxa" w:w="3456"/>
          </w:tcPr>
          <w:p>
            <w:r>
              <w:t>device_id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Origin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finalized_at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cancelled_at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17.2 sales_invoice_lines</w:t>
      </w:r>
    </w:p>
    <w:p>
      <w:pPr>
        <w:pStyle w:val="ListBullet"/>
      </w:pPr>
      <w:r>
        <w:t>id, tenant_id, invoice_id, line_no, product_id, product_name_snapshot, sku_snapshot, hsn_snapshot, uom_id, uom_code_snapshot, quantity NUMERIC(12,3), unit_price NUMERIC(12,2), discount, taxable_value, tax_profile_snapshot JSONB or normalized snapshot fields, tax_total, line_total.</w:t>
      </w:r>
    </w:p>
    <w:p>
      <w:pPr>
        <w:pStyle w:val="ListBullet"/>
      </w:pPr>
      <w:r>
        <w:t>Snapshot fields make historical reproduction possible.</w:t>
      </w:r>
    </w:p>
    <w:p>
      <w:pPr>
        <w:pStyle w:val="Heading2"/>
      </w:pPr>
      <w:r>
        <w:t>17.3 invoice_tax_lines</w:t>
      </w:r>
    </w:p>
    <w:p>
      <w:pPr>
        <w:pStyle w:val="ListBullet"/>
      </w:pPr>
      <w:r>
        <w:t>id, tenant_id, invoice_id, invoice_line_id nullable, tax_type, rate NUMERIC(7,4), taxable_value, tax_amount, jurisdiction/state codes.</w:t>
      </w:r>
    </w:p>
    <w:p>
      <w:pPr>
        <w:pStyle w:val="ListBullet"/>
      </w:pPr>
      <w:r>
        <w:t>Supports multiple tax treatments in one invoice.</w:t>
      </w:r>
    </w:p>
    <w:p>
      <w:pPr>
        <w:pStyle w:val="Heading2"/>
      </w:pPr>
      <w:r>
        <w:t>17.4 invoice_batch_allocations</w:t>
      </w:r>
    </w:p>
    <w:p>
      <w:pPr>
        <w:pStyle w:val="ListBullet"/>
      </w:pPr>
      <w:r>
        <w:t>id, tenant_id, invoice_line_id, batch_id, quantity NUMERIC(12,3), uom_id, unit_cost, cost_value.</w:t>
      </w:r>
    </w:p>
    <w:p>
      <w:pPr>
        <w:pStyle w:val="ListBullet"/>
      </w:pPr>
      <w:r>
        <w:t>This is the traceability link from sale to physical batch.</w:t>
      </w:r>
    </w:p>
    <w:p>
      <w:pPr>
        <w:pStyle w:val="Heading1"/>
      </w:pPr>
      <w:r>
        <w:t>18. Sales Returns</w:t>
      </w:r>
    </w:p>
    <w:p>
      <w:pPr>
        <w:pStyle w:val="ListBullet"/>
      </w:pPr>
      <w:r>
        <w:t>sales_returns: id, tenant_id, return_number, original_invoice_id, customer_id, return_date, reason, status, subtotal, tax, total, refund_status, created_by.</w:t>
      </w:r>
    </w:p>
    <w:p>
      <w:pPr>
        <w:pStyle w:val="ListBullet"/>
      </w:pPr>
      <w:r>
        <w:t>sales_return_lines: original_line_id, product, batch, quantity, uom, condition_status, restock_location, refund_amount.</w:t>
      </w:r>
    </w:p>
    <w:p>
      <w:pPr>
        <w:pStyle w:val="ListBullet"/>
      </w:pPr>
      <w:r>
        <w:t>Posting return creates stock and financial reversal events.</w:t>
      </w:r>
    </w:p>
    <w:p>
      <w:pPr>
        <w:pStyle w:val="Heading1"/>
      </w:pPr>
      <w:r>
        <w:t>19. Payments</w:t>
      </w:r>
    </w:p>
    <w:p>
      <w:pPr>
        <w:pStyle w:val="Heading2"/>
      </w:pPr>
      <w:r>
        <w:t>19.1 payment_intents</w:t>
      </w:r>
    </w:p>
    <w:p>
      <w:pPr>
        <w:pStyle w:val="ListBullet"/>
      </w:pPr>
      <w:r>
        <w:t>id, tenant_id, invoice_id nullable, customer_id nullable, provider, provider_order_reference, amount, currency, status, expires_at, idempotency_key, created_at.</w:t>
      </w:r>
    </w:p>
    <w:p>
      <w:pPr>
        <w:pStyle w:val="Heading2"/>
      </w:pPr>
      <w:r>
        <w:t>19.2 payments / payment_allocations</w:t>
      </w:r>
    </w:p>
    <w:p>
      <w:pPr>
        <w:pStyle w:val="ListBullet"/>
      </w:pPr>
      <w:r>
        <w:t>payments: id, tenant_id, payment_intent_id, provider, provider_payment_id, method, amount, status, received_at, settlement_status, raw_reference metadata.</w:t>
      </w:r>
    </w:p>
    <w:p>
      <w:pPr>
        <w:pStyle w:val="ListBullet"/>
      </w:pPr>
      <w:r>
        <w:t>payment_allocations: payment_id, invoice_id/customer ledger document, allocated_amount.</w:t>
      </w:r>
    </w:p>
    <w:p>
      <w:pPr>
        <w:pStyle w:val="ListBullet"/>
      </w:pPr>
      <w:r>
        <w:t>One payment may allocate to multiple invoices if business rules permit.</w:t>
      </w:r>
    </w:p>
    <w:p>
      <w:pPr>
        <w:pStyle w:val="Heading2"/>
      </w:pPr>
      <w:r>
        <w:t>19.3 payment_webhook_events</w:t>
      </w:r>
    </w:p>
    <w:p>
      <w:pPr>
        <w:pStyle w:val="ListBullet"/>
      </w:pPr>
      <w:r>
        <w:t>id, tenant_id nullable until safely resolved, provider, event_id, signature_verified, received_at, event_type, payload_hash, payload JSONB encrypted/restricted as appropriate, processing_status, processed_at, error_code.</w:t>
      </w:r>
    </w:p>
    <w:p>
      <w:pPr>
        <w:pStyle w:val="ListBullet"/>
      </w:pPr>
      <w:r>
        <w:t>Unique provider + event_id.</w:t>
      </w:r>
    </w:p>
    <w:p>
      <w:pPr>
        <w:pStyle w:val="ListBullet"/>
      </w:pPr>
      <w:r>
        <w:t>Never trust client-reported payment success.</w:t>
      </w:r>
    </w:p>
    <w:p>
      <w:pPr>
        <w:pStyle w:val="Heading2"/>
      </w:pPr>
      <w:r>
        <w:t>19.4 refunds</w:t>
      </w:r>
    </w:p>
    <w:p>
      <w:pPr>
        <w:pStyle w:val="ListBullet"/>
      </w:pPr>
      <w:r>
        <w:t>id, tenant_id, payment_id, return_id nullable, provider_refund_id, amount, status, reason, requested_by, approved_by, timestamps.</w:t>
      </w:r>
    </w:p>
    <w:p>
      <w:pPr>
        <w:pStyle w:val="Heading1"/>
      </w:pPr>
      <w:r>
        <w:t>20. Multi-Tender</w:t>
      </w:r>
    </w:p>
    <w:p>
      <w:r>
        <w:t>Tender lines may be normalized as payment/tender records linked to the invoice. Supported method codes include CASH, UPI, BANK, CREDIT, OTHER_CONFIGURED. A database constraint or posting validation must guarantee sum(tender_amounts) = invoice.grand_total. Credit tender posts receivable; non-credit tenders post settlement accounts.</w:t>
      </w:r>
    </w:p>
    <w:p>
      <w:pPr>
        <w:pStyle w:val="Heading1"/>
      </w:pPr>
      <w:r>
        <w:t>21. Contra / Buy-Back</w:t>
      </w:r>
    </w:p>
    <w:p>
      <w:pPr>
        <w:pStyle w:val="ListBullet"/>
      </w:pPr>
      <w:r>
        <w:t>contra_transactions: id, tenant_id, contra_number, customer_id, date, status, total_value, approval fields, source/reference.</w:t>
      </w:r>
    </w:p>
    <w:p>
      <w:pPr>
        <w:pStyle w:val="ListBullet"/>
      </w:pPr>
      <w:r>
        <w:t>contra_lines: product_id, batch_id nullable, quantity, uom, valuation_unit_price, value, quality_status, location.</w:t>
      </w:r>
    </w:p>
    <w:p>
      <w:pPr>
        <w:pStyle w:val="ListBullet"/>
      </w:pPr>
      <w:r>
        <w:t>Posting creates inventory receipt + customer receivable reduction + accounting journal entries as configured.</w:t>
      </w:r>
    </w:p>
    <w:p>
      <w:pPr>
        <w:pStyle w:val="ListBullet"/>
      </w:pPr>
      <w:r>
        <w:t>Contra reversal creates compensating inventory and financial events.</w:t>
      </w:r>
    </w:p>
    <w:p>
      <w:pPr>
        <w:pStyle w:val="Heading1"/>
      </w:pPr>
      <w:r>
        <w:t>22. Accounting Journal</w:t>
      </w:r>
    </w:p>
    <w:p>
      <w:pPr>
        <w:pStyle w:val="Heading2"/>
      </w:pPr>
      <w:r>
        <w:t>22.1 journal_entries</w:t>
      </w:r>
    </w:p>
    <w:p>
      <w:pPr>
        <w:pStyle w:val="ListBullet"/>
      </w:pPr>
      <w:r>
        <w:t>id, tenant_id, financial_year_id, journal_number, entry_date, source_type, source_id, description, status, posted_at, posted_by, reversal_of_id.</w:t>
      </w:r>
    </w:p>
    <w:p>
      <w:pPr>
        <w:pStyle w:val="Heading2"/>
      </w:pPr>
      <w:r>
        <w:t>22.2 journal_lines</w:t>
      </w:r>
    </w:p>
    <w:p>
      <w:pPr>
        <w:pStyle w:val="ListBullet"/>
      </w:pPr>
      <w:r>
        <w:t>id, tenant_id, journal_entry_id, account_code/account_id, debit NUMERIC(12,2), credit NUMERIC(12,2), customer_id nullable, supplier_id nullable, product/batch references nullable, description.</w:t>
      </w:r>
    </w:p>
    <w:p>
      <w:pPr>
        <w:pStyle w:val="ListBullet"/>
      </w:pPr>
      <w:r>
        <w:t>Constraint: debit &gt;= 0, credit &gt;= 0, and not both positive. Posting rule: sum(debit)=sum(credit).</w:t>
      </w:r>
    </w:p>
    <w:p>
      <w:r>
        <w:t>A chart_of_accounts table may be added if the system owns accounting configuration. If an external accounting package remains authoritative, the journal model still records the system's operational accounting events for reconciliation.</w:t>
      </w:r>
    </w:p>
    <w:p>
      <w:pPr>
        <w:pStyle w:val="Heading1"/>
      </w:pPr>
      <w:r>
        <w:t>23. Cash &amp; EOD</w:t>
      </w:r>
    </w:p>
    <w:p>
      <w:pPr>
        <w:pStyle w:val="Heading2"/>
      </w:pPr>
      <w:r>
        <w:t>23.1 cash_sessions</w:t>
      </w:r>
    </w:p>
    <w:p>
      <w:pPr>
        <w:pStyle w:val="ListBullet"/>
      </w:pPr>
      <w:r>
        <w:t>id, tenant_id, device_id/location_id, business_date, opening_cash, opened_by, opened_at, status.</w:t>
      </w:r>
    </w:p>
    <w:p>
      <w:pPr>
        <w:pStyle w:val="Heading2"/>
      </w:pPr>
      <w:r>
        <w:t>23.2 cash_movements</w:t>
      </w:r>
    </w:p>
    <w:p>
      <w:pPr>
        <w:pStyle w:val="ListBullet"/>
      </w:pPr>
      <w:r>
        <w:t>id, tenant_id, cash_session_id, movement_type (SALE/REFUND/PAYOUT/EXPENSE/DEPOSIT/WITHDRAWAL/ADJUSTMENT), source_id, amount, direction, reason, user, timestamp.</w:t>
      </w:r>
    </w:p>
    <w:p>
      <w:pPr>
        <w:pStyle w:val="Heading2"/>
      </w:pPr>
      <w:r>
        <w:t>23.3 eod_sessions</w:t>
      </w:r>
    </w:p>
    <w:p>
      <w:pPr>
        <w:pStyle w:val="ListBullet"/>
      </w:pPr>
      <w:r>
        <w:t>id, tenant_id, business_date, opening_cash, cash_sales, cash_refunds, cash_payouts, expected_cash, actual_cash, variance, variance_reason, status, closed_by, timestamps.</w:t>
      </w:r>
    </w:p>
    <w:p>
      <w:pPr>
        <w:pStyle w:val="ListBullet"/>
      </w:pPr>
      <w:r>
        <w:t>EOD close should lock the business date against unauthorized edits.</w:t>
      </w:r>
    </w:p>
    <w:p>
      <w:pPr>
        <w:pStyle w:val="Heading1"/>
      </w:pPr>
      <w:r>
        <w:t>24. Notifications &amp; WhatsApp</w:t>
      </w:r>
    </w:p>
    <w:p>
      <w:pPr>
        <w:pStyle w:val="ListBullet"/>
      </w:pPr>
      <w:r>
        <w:t>message_templates: id, tenant_id, code, language_code, version, body_template, purpose, active.</w:t>
      </w:r>
    </w:p>
    <w:p>
      <w:pPr>
        <w:pStyle w:val="ListBullet"/>
      </w:pPr>
      <w:r>
        <w:t>notification_jobs: id, tenant_id, customer_id nullable, template_id, scheduled_at, status, dedupe_key, payload.</w:t>
      </w:r>
    </w:p>
    <w:p>
      <w:pPr>
        <w:pStyle w:val="ListBullet"/>
      </w:pPr>
      <w:r>
        <w:t>message_deliveries: id, tenant_id, notification_job_id, provider, provider_message_id, status, sent_at, delivered_at, read_at, failed_at, error_code.</w:t>
      </w:r>
    </w:p>
    <w:p>
      <w:pPr>
        <w:pStyle w:val="ListBullet"/>
      </w:pPr>
      <w:r>
        <w:t>Collection settings include expected cycle date, reminder lead days, grace_period_days and pause dates.</w:t>
      </w:r>
    </w:p>
    <w:p>
      <w:pPr>
        <w:pStyle w:val="Heading1"/>
      </w:pPr>
      <w:r>
        <w:t>25. Offline Synchronization</w:t>
      </w:r>
    </w:p>
    <w:p>
      <w:pPr>
        <w:pStyle w:val="Heading2"/>
      </w:pPr>
      <w:r>
        <w:t>25.1 sync_transactions</w:t>
      </w:r>
    </w:p>
    <w:p>
      <w:pPr>
        <w:pStyle w:val="ListBullet"/>
      </w:pPr>
      <w:r>
        <w:t>id, tenant_id, device_id, client_transaction_id, local_sequence, entity_type, operation_type, payload_version, payload_hash, created_at_device, received_at_server, status, authoritative_entity_id, error_code, retry_count.</w:t>
      </w:r>
    </w:p>
    <w:p>
      <w:pPr>
        <w:pStyle w:val="ListBullet"/>
      </w:pPr>
      <w:r>
        <w:t>Unique tenant_id + device_id + client_transaction_id.</w:t>
      </w:r>
    </w:p>
    <w:p>
      <w:pPr>
        <w:pStyle w:val="Heading2"/>
      </w:pPr>
      <w:r>
        <w:t>25.2 sync_conflicts</w:t>
      </w:r>
    </w:p>
    <w:p>
      <w:pPr>
        <w:pStyle w:val="ListBullet"/>
      </w:pPr>
      <w:r>
        <w:t>id, tenant_id, sync_transaction_id, entity_type, entity_id, conflict_type, local_payload, server_state_reference, resolution, resolved_by, resolved_at.</w:t>
      </w:r>
    </w:p>
    <w:p>
      <w:pPr>
        <w:pStyle w:val="ListBullet"/>
      </w:pPr>
      <w:r>
        <w:t>Financial conflicts are never auto-resolved by last-write-wins.</w:t>
      </w:r>
    </w:p>
    <w:p>
      <w:pPr>
        <w:pStyle w:val="Heading2"/>
      </w:pPr>
      <w:r>
        <w:t>25.3 sync_cursors</w:t>
      </w:r>
    </w:p>
    <w:p>
      <w:pPr>
        <w:pStyle w:val="ListBullet"/>
      </w:pPr>
      <w:r>
        <w:t>device_id, entity/domain, last_server_cursor, last_ack_sequence, updated_at.</w:t>
      </w:r>
    </w:p>
    <w:p>
      <w:pPr>
        <w:pStyle w:val="Heading1"/>
      </w:pPr>
      <w:r>
        <w:t>25.4 Offline transaction rules</w:t>
      </w:r>
    </w:p>
    <w:p>
      <w:pPr>
        <w:pStyle w:val="ListNumber"/>
      </w:pPr>
      <w:r>
        <w:t>Write transaction locally in SQLCipher.</w:t>
      </w:r>
    </w:p>
    <w:p>
      <w:pPr>
        <w:pStyle w:val="ListNumber"/>
      </w:pPr>
      <w:r>
        <w:t>Assign UUID client_transaction_id and monotonic local_sequence.</w:t>
      </w:r>
    </w:p>
    <w:p>
      <w:pPr>
        <w:pStyle w:val="ListNumber"/>
      </w:pPr>
      <w:r>
        <w:t>Hash/integrity-protect the envelope.</w:t>
      </w:r>
    </w:p>
    <w:p>
      <w:pPr>
        <w:pStyle w:val="ListNumber"/>
      </w:pPr>
      <w:r>
        <w:t>Upload with idempotency key.</w:t>
      </w:r>
    </w:p>
    <w:p>
      <w:pPr>
        <w:pStyle w:val="ListNumber"/>
      </w:pPr>
      <w:r>
        <w:t>Server validates tenant/device/auth/business rules.</w:t>
      </w:r>
    </w:p>
    <w:p>
      <w:pPr>
        <w:pStyle w:val="ListNumber"/>
      </w:pPr>
      <w:r>
        <w:t>Server atomically posts the transaction or returns a deterministic conflict/error.</w:t>
      </w:r>
    </w:p>
    <w:p>
      <w:pPr>
        <w:pStyle w:val="ListNumber"/>
      </w:pPr>
      <w:r>
        <w:t>Client records authoritative IDs/result.</w:t>
      </w:r>
    </w:p>
    <w:p>
      <w:pPr>
        <w:pStyle w:val="ListNumber"/>
      </w:pPr>
      <w:r>
        <w:t>Retries return the original result for duplicates.</w:t>
      </w:r>
    </w:p>
    <w:p>
      <w:pPr>
        <w:pStyle w:val="ListNumber"/>
      </w:pPr>
      <w:r>
        <w:t>Rejected transactions remain visible with actionable resolution status.</w:t>
      </w:r>
    </w:p>
    <w:p>
      <w:pPr>
        <w:pStyle w:val="Heading1"/>
      </w:pPr>
      <w:r>
        <w:t>26. Audit Logs</w:t>
      </w:r>
    </w:p>
    <w:p>
      <w:pPr>
        <w:pStyle w:val="ListBullet"/>
      </w:pPr>
      <w:r>
        <w:t>audit_logs: id, tenant_id, actor_user_id nullable, actor_device_id nullable, action_code, entity_type, entity_id, request_id/correlation_id, ip_address where legally/operationally appropriate, user_agent/device metadata, before_json, after_json, reason, created_at.</w:t>
      </w:r>
    </w:p>
    <w:p>
      <w:pPr>
        <w:pStyle w:val="ListBullet"/>
      </w:pPr>
      <w:r>
        <w:t>Do not place secrets, passwords, access tokens or full payment credentials in audit payloads.</w:t>
      </w:r>
    </w:p>
    <w:p>
      <w:pPr>
        <w:pStyle w:val="ListBullet"/>
      </w:pPr>
      <w:r>
        <w:t>Audit records are append-only to application roles.</w:t>
      </w:r>
    </w:p>
    <w:p>
      <w:pPr>
        <w:pStyle w:val="Heading1"/>
      </w:pPr>
      <w:r>
        <w:t>27. Attachments &amp; Documents</w:t>
      </w:r>
    </w:p>
    <w:p>
      <w:pPr>
        <w:pStyle w:val="ListBullet"/>
      </w:pPr>
      <w:r>
        <w:t>attachments: id, tenant_id, entity_type, entity_id, object_provider, object_key, file_name, mime_type, size_bytes, checksum, encrypted, created_by, created_at.</w:t>
      </w:r>
    </w:p>
    <w:p>
      <w:pPr>
        <w:pStyle w:val="ListBullet"/>
      </w:pPr>
      <w:r>
        <w:t>Actual document bytes should live in controlled object storage rather than bloating transactional tables.</w:t>
      </w:r>
    </w:p>
    <w:p>
      <w:pPr>
        <w:pStyle w:val="ListBullet"/>
      </w:pPr>
      <w:r>
        <w:t>Examples: PO PDFs, supplier invoices, compliance documents, exported reports, archive manifests.</w:t>
      </w:r>
    </w:p>
    <w:p>
      <w:pPr>
        <w:pStyle w:val="Heading1"/>
      </w:pPr>
      <w:r>
        <w:t>28. Compliance &amp; Exports</w:t>
      </w:r>
    </w:p>
    <w:p>
      <w:pPr>
        <w:pStyle w:val="ListBullet"/>
      </w:pPr>
      <w:r>
        <w:t>compliance_requests: id, tenant_id, document_type, source_document_id, provider, request_reference, request_payload_hash, status, submitted_at, completed_at.</w:t>
      </w:r>
    </w:p>
    <w:p>
      <w:pPr>
        <w:pStyle w:val="ListBullet"/>
      </w:pPr>
      <w:r>
        <w:t>compliance_responses: request_id, response_code, status, provider_reference, response_metadata, received_at.</w:t>
      </w:r>
    </w:p>
    <w:p>
      <w:pPr>
        <w:pStyle w:val="ListBullet"/>
      </w:pPr>
      <w:r>
        <w:t>compliance_documents: document ID, type, status, source, generated object reference, checksum.</w:t>
      </w:r>
    </w:p>
    <w:p>
      <w:pPr>
        <w:pStyle w:val="ListBullet"/>
      </w:pPr>
      <w:r>
        <w:t>export_jobs: id, tenant_id, export_type, date_from, date_to, filters JSONB, requested_by, status, object reference, checksum, created_at.</w:t>
      </w:r>
    </w:p>
    <w:p>
      <w:r>
        <w:t>Provider-specific payloads should be versioned and stored/referenced safely. Do not make statutory logic dependent on a single provider's response shape.</w:t>
      </w:r>
    </w:p>
    <w:p>
      <w:pPr>
        <w:pStyle w:val="Heading1"/>
      </w:pPr>
      <w:r>
        <w:t>29. Archive Model</w:t>
      </w:r>
    </w:p>
    <w:p>
      <w:pPr>
        <w:pStyle w:val="Heading2"/>
      </w:pPr>
      <w:r>
        <w:t>29.1 archive_jobs</w:t>
      </w:r>
    </w:p>
    <w:p>
      <w:pPr>
        <w:pStyle w:val="ListBullet"/>
      </w:pPr>
      <w:r>
        <w:t>id, tenant_id, financial_year_id, cutoff_date, policy_version, status, started_at, completed_at, initiated_by, row_count, byte_count, error.</w:t>
      </w:r>
    </w:p>
    <w:p>
      <w:pPr>
        <w:pStyle w:val="Heading2"/>
      </w:pPr>
      <w:r>
        <w:t>29.2 archive_manifests / archive_objects</w:t>
      </w:r>
    </w:p>
    <w:p>
      <w:pPr>
        <w:pStyle w:val="ListBullet"/>
      </w:pPr>
      <w:r>
        <w:t>Manifest contains schema version, tenant, FY, date ranges, table counts, checksum list, generated_at, tool/version and restore metadata.</w:t>
      </w:r>
    </w:p>
    <w:p>
      <w:pPr>
        <w:pStyle w:val="ListBullet"/>
      </w:pPr>
      <w:r>
        <w:t>Objects contain bucket/provider, object_key, checksum, encryption metadata, size, status.</w:t>
      </w:r>
    </w:p>
    <w:p>
      <w:pPr>
        <w:pStyle w:val="ListBullet"/>
      </w:pPr>
      <w:r>
        <w:t>A successful archive must be verified before any retention-based purge.</w:t>
      </w:r>
    </w:p>
    <w:p>
      <w:pPr>
        <w:pStyle w:val="Heading2"/>
      </w:pPr>
      <w:r>
        <w:t>29.3 archive_restore_tests</w:t>
      </w:r>
    </w:p>
    <w:p>
      <w:pPr>
        <w:pStyle w:val="ListBullet"/>
      </w:pPr>
      <w:r>
        <w:t>id, tenant_id nullable, archive_manifest_id, test_date, restored_environment, checksum_verified, row_counts_verified, sample_records_verified, result, tester, notes.</w:t>
      </w:r>
    </w:p>
    <w:p>
      <w:pPr>
        <w:pStyle w:val="Heading1"/>
      </w:pPr>
      <w:r>
        <w:t>30. System Jobs &amp; Integration Events</w:t>
      </w:r>
    </w:p>
    <w:p>
      <w:pPr>
        <w:pStyle w:val="ListBullet"/>
      </w:pPr>
      <w:r>
        <w:t>system_jobs: id, tenant_id nullable, job_type, schedule_key, status, started_at, completed_at, retry_count, error.</w:t>
      </w:r>
    </w:p>
    <w:p>
      <w:pPr>
        <w:pStyle w:val="ListBullet"/>
      </w:pPr>
      <w:r>
        <w:t>integration_events: id, tenant_id, event_type, aggregate_type, aggregate_id, payload_version, payload JSONB, status, retry_count, next_attempt_at, created_at.</w:t>
      </w:r>
    </w:p>
    <w:p>
      <w:pPr>
        <w:pStyle w:val="ListBullet"/>
      </w:pPr>
      <w:r>
        <w:t>Use an outbox pattern for reliable publication of payment/notification/websocket events after DB commit.</w:t>
      </w:r>
    </w:p>
    <w:p>
      <w:pPr>
        <w:pStyle w:val="Heading1"/>
      </w:pPr>
      <w:r>
        <w:t>31. PostgreSQL RLS Requirements</w:t>
      </w:r>
    </w:p>
    <w:p>
      <w:r>
        <w:t>RLS is mandatory for tenant-owned tables.</w:t>
      </w:r>
    </w:p>
    <w:p>
      <w:pPr>
        <w:pStyle w:val="ListBullet"/>
      </w:pPr>
      <w:r>
        <w:t>Enable ROW LEVEL SECURITY and FORCE ROW LEVEL SECURITY where appropriate.</w:t>
      </w:r>
    </w:p>
    <w:p>
      <w:pPr>
        <w:pStyle w:val="ListBullet"/>
      </w:pPr>
      <w:r>
        <w:t>Application database role must not be a superuser and must not have BYPASSRLS.</w:t>
      </w:r>
    </w:p>
    <w:p>
      <w:pPr>
        <w:pStyle w:val="ListBullet"/>
      </w:pPr>
      <w:r>
        <w:t>At transaction start, Go establishes trusted tenant context after authentication/authorization.</w:t>
      </w:r>
    </w:p>
    <w:p>
      <w:pPr>
        <w:pStyle w:val="ListBullet"/>
      </w:pPr>
      <w:r>
        <w:t>Policies use current_setting('app.tenant_id', true) converted to UUID, with fail-closed behavior when absent/invalid.</w:t>
      </w:r>
    </w:p>
    <w:p>
      <w:pPr>
        <w:pStyle w:val="ListBullet"/>
      </w:pPr>
      <w:r>
        <w:t>INSERT/UPDATE policies require NEW.tenant_id to match the trusted context.</w:t>
      </w:r>
    </w:p>
    <w:p>
      <w:pPr>
        <w:pStyle w:val="ListBullet"/>
      </w:pPr>
      <w:r>
        <w:t>SELECT/DELETE policies require row tenant_id to match.</w:t>
      </w:r>
    </w:p>
    <w:p>
      <w:pPr>
        <w:pStyle w:val="ListBullet"/>
      </w:pPr>
      <w:r>
        <w:t>Cross-tenant administrative operations use a separately authorized service path with explicit controls.</w:t>
      </w:r>
    </w:p>
    <w:p>
      <w:pPr>
        <w:pStyle w:val="ListBullet"/>
      </w:pPr>
      <w:r>
        <w:t>CI tests must verify RLS on every tenant-owned table.</w:t>
      </w:r>
    </w:p>
    <w:p>
      <w:r>
        <w:t>Illustrative policy pattern: CREATE POLICY tenant_isolation ON table USING (tenant_id = current_setting('app.tenant_id', true)::uuid) WITH CHECK (tenant_id = current_setting('app.tenant_id', true)::uuid); Production implementation must additionally handle missing context safely and test role permissions.</w:t>
      </w:r>
    </w:p>
    <w:p>
      <w:pPr>
        <w:pStyle w:val="Heading1"/>
      </w:pPr>
      <w:r>
        <w:t>32. Indexing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Table / Access pattern</w:t>
            </w:r>
          </w:p>
        </w:tc>
        <w:tc>
          <w:tcPr>
            <w:tcW w:type="dxa" w:w="5184"/>
          </w:tcPr>
          <w:p>
            <w:r>
              <w:t>Index</w:t>
            </w:r>
          </w:p>
        </w:tc>
      </w:tr>
      <w:tr>
        <w:tc>
          <w:tcPr>
            <w:tcW w:type="dxa" w:w="5184"/>
          </w:tcPr>
          <w:p>
            <w:r>
              <w:t>All tenant tables</w:t>
            </w:r>
          </w:p>
        </w:tc>
        <w:tc>
          <w:tcPr>
            <w:tcW w:type="dxa" w:w="5184"/>
          </w:tcPr>
          <w:p>
            <w:r>
              <w:t>(tenant_id, id) where useful</w:t>
            </w:r>
          </w:p>
        </w:tc>
      </w:tr>
      <w:tr>
        <w:tc>
          <w:tcPr>
            <w:tcW w:type="dxa" w:w="5184"/>
          </w:tcPr>
          <w:p>
            <w:r>
              <w:t>Products search</w:t>
            </w:r>
          </w:p>
        </w:tc>
        <w:tc>
          <w:tcPr>
            <w:tcW w:type="dxa" w:w="5184"/>
          </w:tcPr>
          <w:p>
            <w:r>
              <w:t>tenant_id + sku; tenant_id + active; normalized name/alias search index</w:t>
            </w:r>
          </w:p>
        </w:tc>
      </w:tr>
      <w:tr>
        <w:tc>
          <w:tcPr>
            <w:tcW w:type="dxa" w:w="5184"/>
          </w:tcPr>
          <w:p>
            <w:r>
              <w:t>Barcodes</w:t>
            </w:r>
          </w:p>
        </w:tc>
        <w:tc>
          <w:tcPr>
            <w:tcW w:type="dxa" w:w="5184"/>
          </w:tcPr>
          <w:p>
            <w:r>
              <w:t>UNIQUE(tenant_id, barcode)</w:t>
            </w:r>
          </w:p>
        </w:tc>
      </w:tr>
      <w:tr>
        <w:tc>
          <w:tcPr>
            <w:tcW w:type="dxa" w:w="5184"/>
          </w:tcPr>
          <w:p>
            <w:r>
              <w:t>Customers</w:t>
            </w:r>
          </w:p>
        </w:tc>
        <w:tc>
          <w:tcPr>
            <w:tcW w:type="dxa" w:w="5184"/>
          </w:tcPr>
          <w:p>
            <w:r>
              <w:t>tenant_id + customer_code; tenant_id + phone</w:t>
            </w:r>
          </w:p>
        </w:tc>
      </w:tr>
      <w:tr>
        <w:tc>
          <w:tcPr>
            <w:tcW w:type="dxa" w:w="5184"/>
          </w:tcPr>
          <w:p>
            <w:r>
              <w:t>Suppliers</w:t>
            </w:r>
          </w:p>
        </w:tc>
        <w:tc>
          <w:tcPr>
            <w:tcW w:type="dxa" w:w="5184"/>
          </w:tcPr>
          <w:p>
            <w:r>
              <w:t>tenant_id + supplier_code; tenant_id + gstin</w:t>
            </w:r>
          </w:p>
        </w:tc>
      </w:tr>
      <w:tr>
        <w:tc>
          <w:tcPr>
            <w:tcW w:type="dxa" w:w="5184"/>
          </w:tcPr>
          <w:p>
            <w:r>
              <w:t>Batches</w:t>
            </w:r>
          </w:p>
        </w:tc>
        <w:tc>
          <w:tcPr>
            <w:tcW w:type="dxa" w:w="5184"/>
          </w:tcPr>
          <w:p>
            <w:r>
              <w:t>tenant_id + product_id + status + expiry_date</w:t>
            </w:r>
          </w:p>
        </w:tc>
      </w:tr>
      <w:tr>
        <w:tc>
          <w:tcPr>
            <w:tcW w:type="dxa" w:w="5184"/>
          </w:tcPr>
          <w:p>
            <w:r>
              <w:t>Stock movements</w:t>
            </w:r>
          </w:p>
        </w:tc>
        <w:tc>
          <w:tcPr>
            <w:tcW w:type="dxa" w:w="5184"/>
          </w:tcPr>
          <w:p>
            <w:r>
              <w:t>tenant_id + product_id + movement_time; tenant_id + batch_id + movement_time; source reference</w:t>
            </w:r>
          </w:p>
        </w:tc>
      </w:tr>
      <w:tr>
        <w:tc>
          <w:tcPr>
            <w:tcW w:type="dxa" w:w="5184"/>
          </w:tcPr>
          <w:p>
            <w:r>
              <w:t>Invoices</w:t>
            </w:r>
          </w:p>
        </w:tc>
        <w:tc>
          <w:tcPr>
            <w:tcW w:type="dxa" w:w="5184"/>
          </w:tcPr>
          <w:p>
            <w:r>
              <w:t>tenant_id + invoice_date; tenant_id + customer_id + invoice_date; UNIQUE tenant/FY/series/number</w:t>
            </w:r>
          </w:p>
        </w:tc>
      </w:tr>
      <w:tr>
        <w:tc>
          <w:tcPr>
            <w:tcW w:type="dxa" w:w="5184"/>
          </w:tcPr>
          <w:p>
            <w:r>
              <w:t>Invoice lines</w:t>
            </w:r>
          </w:p>
        </w:tc>
        <w:tc>
          <w:tcPr>
            <w:tcW w:type="dxa" w:w="5184"/>
          </w:tcPr>
          <w:p>
            <w:r>
              <w:t>tenant_id + invoice_id</w:t>
            </w:r>
          </w:p>
        </w:tc>
      </w:tr>
      <w:tr>
        <w:tc>
          <w:tcPr>
            <w:tcW w:type="dxa" w:w="5184"/>
          </w:tcPr>
          <w:p>
            <w:r>
              <w:t>Payments</w:t>
            </w:r>
          </w:p>
        </w:tc>
        <w:tc>
          <w:tcPr>
            <w:tcW w:type="dxa" w:w="5184"/>
          </w:tcPr>
          <w:p>
            <w:r>
              <w:t>tenant_id + status + created_at; provider + provider_payment_id</w:t>
            </w:r>
          </w:p>
        </w:tc>
      </w:tr>
      <w:tr>
        <w:tc>
          <w:tcPr>
            <w:tcW w:type="dxa" w:w="5184"/>
          </w:tcPr>
          <w:p>
            <w:r>
              <w:t>Webhook events</w:t>
            </w:r>
          </w:p>
        </w:tc>
        <w:tc>
          <w:tcPr>
            <w:tcW w:type="dxa" w:w="5184"/>
          </w:tcPr>
          <w:p>
            <w:r>
              <w:t>UNIQUE(provider,event_id)</w:t>
            </w:r>
          </w:p>
        </w:tc>
      </w:tr>
      <w:tr>
        <w:tc>
          <w:tcPr>
            <w:tcW w:type="dxa" w:w="5184"/>
          </w:tcPr>
          <w:p>
            <w:r>
              <w:t>Customer ledger</w:t>
            </w:r>
          </w:p>
        </w:tc>
        <w:tc>
          <w:tcPr>
            <w:tcW w:type="dxa" w:w="5184"/>
          </w:tcPr>
          <w:p>
            <w:r>
              <w:t>tenant_id + customer_id + entry_date</w:t>
            </w:r>
          </w:p>
        </w:tc>
      </w:tr>
      <w:tr>
        <w:tc>
          <w:tcPr>
            <w:tcW w:type="dxa" w:w="5184"/>
          </w:tcPr>
          <w:p>
            <w:r>
              <w:t>Supplier ledger</w:t>
            </w:r>
          </w:p>
        </w:tc>
        <w:tc>
          <w:tcPr>
            <w:tcW w:type="dxa" w:w="5184"/>
          </w:tcPr>
          <w:p>
            <w:r>
              <w:t>tenant_id + supplier_id + entry_date</w:t>
            </w:r>
          </w:p>
        </w:tc>
      </w:tr>
      <w:tr>
        <w:tc>
          <w:tcPr>
            <w:tcW w:type="dxa" w:w="5184"/>
          </w:tcPr>
          <w:p>
            <w:r>
              <w:t>Sync</w:t>
            </w:r>
          </w:p>
        </w:tc>
        <w:tc>
          <w:tcPr>
            <w:tcW w:type="dxa" w:w="5184"/>
          </w:tcPr>
          <w:p>
            <w:r>
              <w:t>UNIQUE(tenant_id,device_id,client_transaction_id); tenant/device/local_sequence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tenant_id + entity_type + entity_id + created_at</w:t>
            </w:r>
          </w:p>
        </w:tc>
      </w:tr>
      <w:tr>
        <w:tc>
          <w:tcPr>
            <w:tcW w:type="dxa" w:w="5184"/>
          </w:tcPr>
          <w:p>
            <w:r>
              <w:t>Expiry</w:t>
            </w:r>
          </w:p>
        </w:tc>
        <w:tc>
          <w:tcPr>
            <w:tcW w:type="dxa" w:w="5184"/>
          </w:tcPr>
          <w:p>
            <w:r>
              <w:t>tenant_id + status + expiry_date</w:t>
            </w:r>
          </w:p>
        </w:tc>
      </w:tr>
    </w:tbl>
    <w:p>
      <w:r>
        <w:t>Use PostgreSQL full-text/trigram indexes only where justified. For Tamil/local alias search, validate PostgreSQL collation/extension behavior; otherwise maintain normalized searchable columns or a dedicated search service.</w:t>
      </w:r>
    </w:p>
    <w:p>
      <w:pPr>
        <w:pStyle w:val="Heading1"/>
      </w:pPr>
      <w:r>
        <w:t>33. Constraints &amp; Integrity Rules</w:t>
      </w:r>
    </w:p>
    <w:p>
      <w:pPr>
        <w:pStyle w:val="ListBullet"/>
      </w:pPr>
      <w:r>
        <w:t>All monetary amounts &gt;= 0 unless a signed adjustment field is explicitly defined.</w:t>
      </w:r>
    </w:p>
    <w:p>
      <w:pPr>
        <w:pStyle w:val="ListBullet"/>
      </w:pPr>
      <w:r>
        <w:t>Invoice grand_total = subtotal - discounts + tax + charges + rounding according to one deterministic formula.</w:t>
      </w:r>
    </w:p>
    <w:p>
      <w:pPr>
        <w:pStyle w:val="ListBullet"/>
      </w:pPr>
      <w:r>
        <w:t>Invoice tender total = grand_total.</w:t>
      </w:r>
    </w:p>
    <w:p>
      <w:pPr>
        <w:pStyle w:val="ListBullet"/>
      </w:pPr>
      <w:r>
        <w:t>Posted journal entry debits = credits.</w:t>
      </w:r>
    </w:p>
    <w:p>
      <w:pPr>
        <w:pStyle w:val="ListBullet"/>
      </w:pPr>
      <w:r>
        <w:t>Stock movement signed quantity is derived from movement type and cannot be arbitrary without a privileged adjustment type.</w:t>
      </w:r>
    </w:p>
    <w:p>
      <w:pPr>
        <w:pStyle w:val="ListBullet"/>
      </w:pPr>
      <w:r>
        <w:t>GRN net_weight = gross_weight - tare_weight and net_weight &gt;= 0.</w:t>
      </w:r>
    </w:p>
    <w:p>
      <w:pPr>
        <w:pStyle w:val="ListBullet"/>
      </w:pPr>
      <w:r>
        <w:t>Tare_weight &lt;= gross_weight × configured maximum percentage unless approved override.</w:t>
      </w:r>
    </w:p>
    <w:p>
      <w:pPr>
        <w:pStyle w:val="ListBullet"/>
      </w:pPr>
      <w:r>
        <w:t>Inventory quantity must not be negative unless an explicit tenant policy allows it; offline conflict rules must still prevent accidental negative stock.</w:t>
      </w:r>
    </w:p>
    <w:p>
      <w:pPr>
        <w:pStyle w:val="ListBullet"/>
      </w:pPr>
      <w:r>
        <w:t>Expired/quarantined batches cannot be allocated to normal sales.</w:t>
      </w:r>
    </w:p>
    <w:p>
      <w:pPr>
        <w:pStyle w:val="ListBullet"/>
      </w:pPr>
      <w:r>
        <w:t>Historical invoice snapshot fields cannot be updated after finalization.</w:t>
      </w:r>
    </w:p>
    <w:p>
      <w:pPr>
        <w:pStyle w:val="ListBullet"/>
      </w:pPr>
      <w:r>
        <w:t>Referenced master rows cannot be physically deleted.</w:t>
      </w:r>
    </w:p>
    <w:p>
      <w:pPr>
        <w:pStyle w:val="ListBullet"/>
      </w:pPr>
      <w:r>
        <w:t>All tenant FKs should include tenant consistency checks where feasible, or composite tenant-scoped FK patterns for critical tables.</w:t>
      </w:r>
    </w:p>
    <w:p>
      <w:pPr>
        <w:pStyle w:val="Heading1"/>
      </w:pPr>
      <w:r>
        <w:t>34. Composite Tenant Foreign Keys</w:t>
      </w:r>
    </w:p>
    <w:p>
      <w:r>
        <w:t>For high-integrity tables, prefer composite uniqueness and foreign keys such as UNIQUE(tenant_id,id) on parent tables and FOREIGN KEY(tenant_id,parent_id) REFERENCES parent(tenant_id,id). This prevents an accidental cross-tenant foreign-key reference even if application code is defective. This complements RLS.</w:t>
      </w:r>
    </w:p>
    <w:p>
      <w:pPr>
        <w:pStyle w:val="Heading1"/>
      </w:pPr>
      <w:r>
        <w:t>35. Transaction &amp; Locking Rules</w:t>
      </w:r>
    </w:p>
    <w:p>
      <w:pPr>
        <w:pStyle w:val="ListBullet"/>
      </w:pPr>
      <w:r>
        <w:t>Invoice finalization uses one DB transaction for invoice, lines, taxes, tender allocation, batch allocation, stock movements, customer ledger and journal entries.</w:t>
      </w:r>
    </w:p>
    <w:p>
      <w:pPr>
        <w:pStyle w:val="ListBullet"/>
      </w:pPr>
      <w:r>
        <w:t>Stock allocation locks the relevant balance/batch rows or uses serializable-safe logic.</w:t>
      </w:r>
    </w:p>
    <w:p>
      <w:pPr>
        <w:pStyle w:val="ListBullet"/>
      </w:pPr>
      <w:r>
        <w:t>Document number allocation uses SELECT FOR UPDATE or an equivalent atomic sequence strategy.</w:t>
      </w:r>
    </w:p>
    <w:p>
      <w:pPr>
        <w:pStyle w:val="ListBullet"/>
      </w:pPr>
      <w:r>
        <w:t>Payment webhook processing uses unique provider event IDs plus transaction locking/idempotency.</w:t>
      </w:r>
    </w:p>
    <w:p>
      <w:pPr>
        <w:pStyle w:val="ListBullet"/>
      </w:pPr>
      <w:r>
        <w:t>EOD close locks the applicable business date/session.</w:t>
      </w:r>
    </w:p>
    <w:p>
      <w:pPr>
        <w:pStyle w:val="ListBullet"/>
      </w:pPr>
      <w:r>
        <w:t>Do not hold DB transactions open while calling external APIs.</w:t>
      </w:r>
    </w:p>
    <w:p>
      <w:pPr>
        <w:pStyle w:val="ListBullet"/>
      </w:pPr>
      <w:r>
        <w:t>Use an outbox record within the transaction and publish externally after commit.</w:t>
      </w:r>
    </w:p>
    <w:p>
      <w:pPr>
        <w:pStyle w:val="Heading1"/>
      </w:pPr>
      <w:r>
        <w:t>36. Partitioning Strategy</w:t>
      </w:r>
    </w:p>
    <w:p>
      <w:pPr>
        <w:pStyle w:val="ListBullet"/>
      </w:pPr>
      <w:r>
        <w:t>Consider range partitioning high-volume tables by financial year/month: sales_invoices, sales_invoice_lines, stock_movements, customer_ledger_entries, supplier_ledger_entries, audit_logs and integration_events.</w:t>
      </w:r>
    </w:p>
    <w:p>
      <w:pPr>
        <w:pStyle w:val="ListBullet"/>
      </w:pPr>
      <w:r>
        <w:t>Partitioning must preserve tenant isolation and index performance.</w:t>
      </w:r>
    </w:p>
    <w:p>
      <w:pPr>
        <w:pStyle w:val="ListBullet"/>
      </w:pPr>
      <w:r>
        <w:t>Archive operations can operate at partition granularity where policy permits.</w:t>
      </w:r>
    </w:p>
    <w:p>
      <w:pPr>
        <w:pStyle w:val="ListBullet"/>
      </w:pPr>
      <w:r>
        <w:t>Partition keys must be stable and must not prevent efficient tenant/date queries.</w:t>
      </w:r>
    </w:p>
    <w:p>
      <w:pPr>
        <w:pStyle w:val="ListBullet"/>
      </w:pPr>
      <w:r>
        <w:t>Do not introduce partitioning solely for theoretical scale; benchmark first.</w:t>
      </w:r>
    </w:p>
    <w:p>
      <w:pPr>
        <w:pStyle w:val="Heading1"/>
      </w:pPr>
      <w:r>
        <w:t>37. Retention &amp; Purge</w:t>
      </w:r>
    </w:p>
    <w:p>
      <w:pPr>
        <w:pStyle w:val="ListBullet"/>
      </w:pPr>
      <w:r>
        <w:t>Retention policy must be documented per data class.</w:t>
      </w:r>
    </w:p>
    <w:p>
      <w:pPr>
        <w:pStyle w:val="ListBullet"/>
      </w:pPr>
      <w:r>
        <w:t>Financial/statutory records cannot be purged solely because they are paid.</w:t>
      </w:r>
    </w:p>
    <w:p>
      <w:pPr>
        <w:pStyle w:val="ListBullet"/>
      </w:pPr>
      <w:r>
        <w:t>Archive eligibility must consider legal/accounting retention, open disputes, returns, audits, compliance, restoration requirements and business policy.</w:t>
      </w:r>
    </w:p>
    <w:p>
      <w:pPr>
        <w:pStyle w:val="ListBullet"/>
      </w:pPr>
      <w:r>
        <w:t>Purges are privileged, logged and preferably soft/partition-based.</w:t>
      </w:r>
    </w:p>
    <w:p>
      <w:pPr>
        <w:pStyle w:val="ListBullet"/>
      </w:pPr>
      <w:r>
        <w:t>Before purge: manifest → object upload → checksum verification → restore verification → approval → purge.</w:t>
      </w:r>
    </w:p>
    <w:p>
      <w:pPr>
        <w:pStyle w:val="ListBullet"/>
      </w:pPr>
      <w:r>
        <w:t>Keep archive_catalog/manifest metadata live so archived records remain discoverable.</w:t>
      </w:r>
    </w:p>
    <w:p>
      <w:pPr>
        <w:pStyle w:val="Heading1"/>
      </w:pPr>
      <w:r>
        <w:t>38. SQLCipher Offline Database Scope</w:t>
      </w:r>
    </w:p>
    <w:p>
      <w:pPr>
        <w:pStyle w:val="ListBullet"/>
      </w:pPr>
      <w:r>
        <w:t>Local tables mirror only the minimum operational subset: products, aliases, prices, customers, credit profile snapshot, active batches/stock snapshot, invoice drafts, offline invoices, local payments, sync queue, device configuration and pending receipts.</w:t>
      </w:r>
    </w:p>
    <w:p>
      <w:pPr>
        <w:pStyle w:val="ListBullet"/>
      </w:pPr>
      <w:r>
        <w:t>Do not replicate unnecessary historical financial data to the device.</w:t>
      </w:r>
    </w:p>
    <w:p>
      <w:pPr>
        <w:pStyle w:val="ListBullet"/>
      </w:pPr>
      <w:r>
        <w:t>SQLCipher key is held through platform secure storage; never hard-code it.</w:t>
      </w:r>
    </w:p>
    <w:p>
      <w:pPr>
        <w:pStyle w:val="ListBullet"/>
      </w:pPr>
      <w:r>
        <w:t>Local data must include schema version and migration state.</w:t>
      </w:r>
    </w:p>
    <w:p>
      <w:pPr>
        <w:pStyle w:val="ListBullet"/>
      </w:pPr>
      <w:r>
        <w:t>Local purge follows device lifecycle policy after server acknowledgement where possible.</w:t>
      </w:r>
    </w:p>
    <w:p>
      <w:pPr>
        <w:pStyle w:val="Heading1"/>
      </w:pPr>
      <w:r>
        <w:t>39. Recommended Local Tables</w:t>
      </w:r>
    </w:p>
    <w:p>
      <w:pPr>
        <w:pStyle w:val="ListBullet"/>
      </w:pPr>
      <w:r>
        <w:t>local_products, local_product_aliases, local_prices, local_customers, local_credit_snapshots, local_batches, local_stock_balances, local_invoices, local_invoice_lines, local_tenders, local_batch_allocations, local_sync_transactions, local_sync_conflicts, local_device_state, local_receipt_jobs.</w:t>
      </w:r>
    </w:p>
    <w:p>
      <w:r>
        <w:t>Local schemas may differ physically from PostgreSQL but must preserve the fields required for deterministic synchronization and audit.</w:t>
      </w:r>
    </w:p>
    <w:p>
      <w:pPr>
        <w:pStyle w:val="Heading1"/>
      </w:pPr>
      <w:r>
        <w:t>40. Data Types &amp; Serialization Rules</w:t>
      </w:r>
    </w:p>
    <w:p>
      <w:pPr>
        <w:pStyle w:val="ListBullet"/>
      </w:pPr>
      <w:r>
        <w:t>Go must not use float32/float64 for money or precision-sensitive weight/quantity calculations.</w:t>
      </w:r>
    </w:p>
    <w:p>
      <w:pPr>
        <w:pStyle w:val="ListBullet"/>
      </w:pPr>
      <w:r>
        <w:t>API JSON should serialize decimal values in a deterministic representation; string-decimal transport is acceptable and often safest.</w:t>
      </w:r>
    </w:p>
    <w:p>
      <w:pPr>
        <w:pStyle w:val="ListBullet"/>
      </w:pPr>
      <w:r>
        <w:t>Flutter should use Decimal/fixed-precision representations rather than double for financial calculations.</w:t>
      </w:r>
    </w:p>
    <w:p>
      <w:pPr>
        <w:pStyle w:val="ListBullet"/>
      </w:pPr>
      <w:r>
        <w:t>All IDs are strings in JSON when UUIDs are used.</w:t>
      </w:r>
    </w:p>
    <w:p>
      <w:pPr>
        <w:pStyle w:val="ListBullet"/>
      </w:pPr>
      <w:r>
        <w:t>TIMESTAMPTZ is serialized as RFC 3339 with offset/UTC.</w:t>
      </w:r>
    </w:p>
    <w:p>
      <w:pPr>
        <w:pStyle w:val="ListBullet"/>
      </w:pPr>
      <w:r>
        <w:t>Nullability in OpenAPI must exactly match PostgreSQL/business semantics.</w:t>
      </w:r>
    </w:p>
    <w:p>
      <w:pPr>
        <w:pStyle w:val="ListBullet"/>
      </w:pPr>
      <w:r>
        <w:t>Scale/precision validation occurs at API boundary and DB constraint level where possible.</w:t>
      </w:r>
    </w:p>
    <w:p>
      <w:pPr>
        <w:pStyle w:val="Heading1"/>
      </w:pPr>
      <w:r>
        <w:t>41. Soft Delete Rules</w:t>
      </w:r>
    </w:p>
    <w:p>
      <w:pPr>
        <w:pStyle w:val="ListBullet"/>
      </w:pPr>
      <w:r>
        <w:t>Products, customers, suppliers, price lists, aliases and devices may be deactivated.</w:t>
      </w:r>
    </w:p>
    <w:p>
      <w:pPr>
        <w:pStyle w:val="ListBullet"/>
      </w:pPr>
      <w:r>
        <w:t>Finalized invoices, posted payments, posted stock movements, journal entries and ledger entries are never physically deleted by ordinary application actions.</w:t>
      </w:r>
    </w:p>
    <w:p>
      <w:pPr>
        <w:pStyle w:val="ListBullet"/>
      </w:pPr>
      <w:r>
        <w:t>Corrections use reversal/adjustment records.</w:t>
      </w:r>
    </w:p>
    <w:p>
      <w:pPr>
        <w:pStyle w:val="ListBullet"/>
      </w:pPr>
      <w:r>
        <w:t>Archive/purge is a separate privileged process governed by retention policy.</w:t>
      </w:r>
    </w:p>
    <w:p>
      <w:pPr>
        <w:pStyle w:val="Heading1"/>
      </w:pPr>
      <w:r>
        <w:t>42. Seed / Reference Data</w:t>
      </w:r>
    </w:p>
    <w:p>
      <w:pPr>
        <w:pStyle w:val="ListBullet"/>
      </w:pPr>
      <w:r>
        <w:t>System permissions and role templates.</w:t>
      </w:r>
    </w:p>
    <w:p>
      <w:pPr>
        <w:pStyle w:val="ListBullet"/>
      </w:pPr>
      <w:r>
        <w:t>Standard UOMs: kg, g, bag, tonne and configurable local units.</w:t>
      </w:r>
    </w:p>
    <w:p>
      <w:pPr>
        <w:pStyle w:val="ListBullet"/>
      </w:pPr>
      <w:r>
        <w:t>Default customer tiers.</w:t>
      </w:r>
    </w:p>
    <w:p>
      <w:pPr>
        <w:pStyle w:val="ListBullet"/>
      </w:pPr>
      <w:r>
        <w:t>Default tender types.</w:t>
      </w:r>
    </w:p>
    <w:p>
      <w:pPr>
        <w:pStyle w:val="ListBullet"/>
      </w:pPr>
      <w:r>
        <w:t>Default stock movement types.</w:t>
      </w:r>
    </w:p>
    <w:p>
      <w:pPr>
        <w:pStyle w:val="ListBullet"/>
      </w:pPr>
      <w:r>
        <w:t>Default invoice/payment states.</w:t>
      </w:r>
    </w:p>
    <w:p>
      <w:pPr>
        <w:pStyle w:val="ListBullet"/>
      </w:pPr>
      <w:r>
        <w:t>Default notification purposes.</w:t>
      </w:r>
    </w:p>
    <w:p>
      <w:pPr>
        <w:pStyle w:val="ListBullet"/>
      </w:pPr>
      <w:r>
        <w:t>Tax profiles must be approved/configured rather than blindly seeded with assumptions.</w:t>
      </w:r>
    </w:p>
    <w:p>
      <w:pPr>
        <w:pStyle w:val="Heading1"/>
      </w:pPr>
      <w:r>
        <w:t>43. Migration Strategy</w:t>
      </w:r>
    </w:p>
    <w:p>
      <w:pPr>
        <w:pStyle w:val="ListNumber"/>
      </w:pPr>
      <w:r>
        <w:t>Create extensions and base reference tables.</w:t>
      </w:r>
    </w:p>
    <w:p>
      <w:pPr>
        <w:pStyle w:val="ListNumber"/>
      </w:pPr>
      <w:r>
        <w:t>Create tenants/configuration.</w:t>
      </w:r>
    </w:p>
    <w:p>
      <w:pPr>
        <w:pStyle w:val="ListNumber"/>
      </w:pPr>
      <w:r>
        <w:t>Create identity/RBAC.</w:t>
      </w:r>
    </w:p>
    <w:p>
      <w:pPr>
        <w:pStyle w:val="ListNumber"/>
      </w:pPr>
      <w:r>
        <w:t>Create product/UOM/tax/pricing.</w:t>
      </w:r>
    </w:p>
    <w:p>
      <w:pPr>
        <w:pStyle w:val="ListNumber"/>
      </w:pPr>
      <w:r>
        <w:t>Create customer/supplier.</w:t>
      </w:r>
    </w:p>
    <w:p>
      <w:pPr>
        <w:pStyle w:val="ListNumber"/>
      </w:pPr>
      <w:r>
        <w:t>Create locations/procurement.</w:t>
      </w:r>
    </w:p>
    <w:p>
      <w:pPr>
        <w:pStyle w:val="ListNumber"/>
      </w:pPr>
      <w:r>
        <w:t>Create inventory/batch.</w:t>
      </w:r>
    </w:p>
    <w:p>
      <w:pPr>
        <w:pStyle w:val="ListNumber"/>
      </w:pPr>
      <w:r>
        <w:t>Create sales/payment/ledger/journal.</w:t>
      </w:r>
    </w:p>
    <w:p>
      <w:pPr>
        <w:pStyle w:val="ListNumber"/>
      </w:pPr>
      <w:r>
        <w:t>Create notifications/compliance/archive/audit.</w:t>
      </w:r>
    </w:p>
    <w:p>
      <w:pPr>
        <w:pStyle w:val="ListNumber"/>
      </w:pPr>
      <w:r>
        <w:t>Enable RLS after tables and trusted policies are validated.</w:t>
      </w:r>
    </w:p>
    <w:p>
      <w:pPr>
        <w:pStyle w:val="ListNumber"/>
      </w:pPr>
      <w:r>
        <w:t>Create indexes concurrently where appropriate for production.</w:t>
      </w:r>
    </w:p>
    <w:p>
      <w:pPr>
        <w:pStyle w:val="ListNumber"/>
      </w:pPr>
      <w:r>
        <w:t>Run integrity checks.</w:t>
      </w:r>
    </w:p>
    <w:p>
      <w:pPr>
        <w:pStyle w:val="ListNumber"/>
      </w:pPr>
      <w:r>
        <w:t>Seed approved reference data.</w:t>
      </w:r>
    </w:p>
    <w:p>
      <w:pPr>
        <w:pStyle w:val="ListNumber"/>
      </w:pPr>
      <w:r>
        <w:t>Run migration tests against empty and representative datasets.</w:t>
      </w:r>
    </w:p>
    <w:p>
      <w:pPr>
        <w:pStyle w:val="Heading1"/>
      </w:pPr>
      <w:r>
        <w:t>44. Database Migration Rules</w:t>
      </w:r>
    </w:p>
    <w:p>
      <w:pPr>
        <w:pStyle w:val="ListBullet"/>
      </w:pPr>
      <w:r>
        <w:t>Every migration has a unique ordered version.</w:t>
      </w:r>
    </w:p>
    <w:p>
      <w:pPr>
        <w:pStyle w:val="ListBullet"/>
      </w:pPr>
      <w:r>
        <w:t>Backward-compatible expand/contract approach for live deployments.</w:t>
      </w:r>
    </w:p>
    <w:p>
      <w:pPr>
        <w:pStyle w:val="ListBullet"/>
      </w:pPr>
      <w:r>
        <w:t>Avoid long blocking locks during business hours.</w:t>
      </w:r>
    </w:p>
    <w:p>
      <w:pPr>
        <w:pStyle w:val="ListBullet"/>
      </w:pPr>
      <w:r>
        <w:t>Large data backfills are asynchronous/batched.</w:t>
      </w:r>
    </w:p>
    <w:p>
      <w:pPr>
        <w:pStyle w:val="ListBullet"/>
      </w:pPr>
      <w:r>
        <w:t>No destructive migration without explicit backup and rollback plan.</w:t>
      </w:r>
    </w:p>
    <w:p>
      <w:pPr>
        <w:pStyle w:val="ListBullet"/>
      </w:pPr>
      <w:r>
        <w:t>Schema changes must update ERD and API contracts.</w:t>
      </w:r>
    </w:p>
    <w:p>
      <w:pPr>
        <w:pStyle w:val="Heading1"/>
      </w:pPr>
      <w:r>
        <w:t>45. Backup &amp; Restore</w:t>
      </w:r>
    </w:p>
    <w:p>
      <w:pPr>
        <w:pStyle w:val="ListBullet"/>
      </w:pPr>
      <w:r>
        <w:t>Automated encrypted backups.</w:t>
      </w:r>
    </w:p>
    <w:p>
      <w:pPr>
        <w:pStyle w:val="ListBullet"/>
      </w:pPr>
      <w:r>
        <w:t>Point-in-time recovery where available.</w:t>
      </w:r>
    </w:p>
    <w:p>
      <w:pPr>
        <w:pStyle w:val="ListBullet"/>
      </w:pPr>
      <w:r>
        <w:t>Separate backup credentials/storage.</w:t>
      </w:r>
    </w:p>
    <w:p>
      <w:pPr>
        <w:pStyle w:val="ListBullet"/>
      </w:pPr>
      <w:r>
        <w:t>Restore tests at scheduled intervals.</w:t>
      </w:r>
    </w:p>
    <w:p>
      <w:pPr>
        <w:pStyle w:val="ListBullet"/>
      </w:pPr>
      <w:r>
        <w:t>Validate row counts, checksums, key balances and sample invoice/ledger traces after restore.</w:t>
      </w:r>
    </w:p>
    <w:p>
      <w:pPr>
        <w:pStyle w:val="ListBullet"/>
      </w:pPr>
      <w:r>
        <w:t>R2 archive objects are not a replacement for primary DB backups.</w:t>
      </w:r>
    </w:p>
    <w:p>
      <w:pPr>
        <w:pStyle w:val="Heading1"/>
      </w:pPr>
      <w:r>
        <w:t>46. Security</w:t>
      </w:r>
    </w:p>
    <w:p>
      <w:pPr>
        <w:pStyle w:val="ListBullet"/>
      </w:pPr>
      <w:r>
        <w:t>Least-privilege PostgreSQL roles.</w:t>
      </w:r>
    </w:p>
    <w:p>
      <w:pPr>
        <w:pStyle w:val="ListBullet"/>
      </w:pPr>
      <w:r>
        <w:t>No superuser from application.</w:t>
      </w:r>
    </w:p>
    <w:p>
      <w:pPr>
        <w:pStyle w:val="ListBullet"/>
      </w:pPr>
      <w:r>
        <w:t>No BYPASSRLS.</w:t>
      </w:r>
    </w:p>
    <w:p>
      <w:pPr>
        <w:pStyle w:val="ListBullet"/>
      </w:pPr>
      <w:r>
        <w:t>TLS in transit.</w:t>
      </w:r>
    </w:p>
    <w:p>
      <w:pPr>
        <w:pStyle w:val="ListBullet"/>
      </w:pPr>
      <w:r>
        <w:t>Encryption at rest where infrastructure supports it.</w:t>
      </w:r>
    </w:p>
    <w:p>
      <w:pPr>
        <w:pStyle w:val="ListBullet"/>
      </w:pPr>
      <w:r>
        <w:t>Secrets through secret manager/environment, never source.</w:t>
      </w:r>
    </w:p>
    <w:p>
      <w:pPr>
        <w:pStyle w:val="ListBullet"/>
      </w:pPr>
      <w:r>
        <w:t>Audit privileged operations.</w:t>
      </w:r>
    </w:p>
    <w:p>
      <w:pPr>
        <w:pStyle w:val="ListBullet"/>
      </w:pPr>
      <w:r>
        <w:t>Restrict raw JSONB payload access when it may contain personal or provider-sensitive data.</w:t>
      </w:r>
    </w:p>
    <w:p>
      <w:pPr>
        <w:pStyle w:val="ListBullet"/>
      </w:pPr>
      <w:r>
        <w:t>Rotate credentials and provider keys.</w:t>
      </w:r>
    </w:p>
    <w:p>
      <w:pPr>
        <w:pStyle w:val="Heading1"/>
      </w:pPr>
      <w:r>
        <w:t>47.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Operation</w:t>
            </w:r>
          </w:p>
        </w:tc>
        <w:tc>
          <w:tcPr>
            <w:tcW w:type="dxa" w:w="5184"/>
          </w:tcPr>
          <w:p>
            <w:r>
              <w:t>Target / Principle</w:t>
            </w:r>
          </w:p>
        </w:tc>
      </w:tr>
      <w:tr>
        <w:tc>
          <w:tcPr>
            <w:tcW w:type="dxa" w:w="5184"/>
          </w:tcPr>
          <w:p>
            <w:r>
              <w:t>POS local lookup</w:t>
            </w:r>
          </w:p>
        </w:tc>
        <w:tc>
          <w:tcPr>
            <w:tcW w:type="dxa" w:w="5184"/>
          </w:tcPr>
          <w:p>
            <w:r>
              <w:t>Sub-second perceived response</w:t>
            </w:r>
          </w:p>
        </w:tc>
      </w:tr>
      <w:tr>
        <w:tc>
          <w:tcPr>
            <w:tcW w:type="dxa" w:w="5184"/>
          </w:tcPr>
          <w:p>
            <w:r>
              <w:t>Invoice posting</w:t>
            </w:r>
          </w:p>
        </w:tc>
        <w:tc>
          <w:tcPr>
            <w:tcW w:type="dxa" w:w="5184"/>
          </w:tcPr>
          <w:p>
            <w:r>
              <w:t>Target &lt; 1 second server transaction under normal load, excluding external providers</w:t>
            </w:r>
          </w:p>
        </w:tc>
      </w:tr>
      <w:tr>
        <w:tc>
          <w:tcPr>
            <w:tcW w:type="dxa" w:w="5184"/>
          </w:tcPr>
          <w:p>
            <w:r>
              <w:t>Stock allocation</w:t>
            </w:r>
          </w:p>
        </w:tc>
        <w:tc>
          <w:tcPr>
            <w:tcW w:type="dxa" w:w="5184"/>
          </w:tcPr>
          <w:p>
            <w:r>
              <w:t>Indexed and lock-safe</w:t>
            </w:r>
          </w:p>
        </w:tc>
      </w:tr>
      <w:tr>
        <w:tc>
          <w:tcPr>
            <w:tcW w:type="dxa" w:w="5184"/>
          </w:tcPr>
          <w:p>
            <w:r>
              <w:t>Customer statement</w:t>
            </w:r>
          </w:p>
        </w:tc>
        <w:tc>
          <w:tcPr>
            <w:tcW w:type="dxa" w:w="5184"/>
          </w:tcPr>
          <w:p>
            <w:r>
              <w:t>Paginated; indexed by tenant/customer/date</w:t>
            </w:r>
          </w:p>
        </w:tc>
      </w:tr>
      <w:tr>
        <w:tc>
          <w:tcPr>
            <w:tcW w:type="dxa" w:w="5184"/>
          </w:tcPr>
          <w:p>
            <w:r>
              <w:t>Expiry scan</w:t>
            </w:r>
          </w:p>
        </w:tc>
        <w:tc>
          <w:tcPr>
            <w:tcW w:type="dxa" w:w="5184"/>
          </w:tcPr>
          <w:p>
            <w:r>
              <w:t>Indexed by tenant/status/expiry</w:t>
            </w:r>
          </w:p>
        </w:tc>
      </w:tr>
      <w:tr>
        <w:tc>
          <w:tcPr>
            <w:tcW w:type="dxa" w:w="5184"/>
          </w:tcPr>
          <w:p>
            <w:r>
              <w:t>EOD</w:t>
            </w:r>
          </w:p>
        </w:tc>
        <w:tc>
          <w:tcPr>
            <w:tcW w:type="dxa" w:w="5184"/>
          </w:tcPr>
          <w:p>
            <w:r>
              <w:t>Prefer pre-aggregated/indexed events; avoid full-table scans</w:t>
            </w:r>
          </w:p>
        </w:tc>
      </w:tr>
      <w:tr>
        <w:tc>
          <w:tcPr>
            <w:tcW w:type="dxa" w:w="5184"/>
          </w:tcPr>
          <w:p>
            <w:r>
              <w:t>Exports</w:t>
            </w:r>
          </w:p>
        </w:tc>
        <w:tc>
          <w:tcPr>
            <w:tcW w:type="dxa" w:w="5184"/>
          </w:tcPr>
          <w:p>
            <w:r>
              <w:t>Asynchronous for large ranges</w:t>
            </w:r>
          </w:p>
        </w:tc>
      </w:tr>
      <w:tr>
        <w:tc>
          <w:tcPr>
            <w:tcW w:type="dxa" w:w="5184"/>
          </w:tcPr>
          <w:p>
            <w:r>
              <w:t>Archive</w:t>
            </w:r>
          </w:p>
        </w:tc>
        <w:tc>
          <w:tcPr>
            <w:tcW w:type="dxa" w:w="5184"/>
          </w:tcPr>
          <w:p>
            <w:r>
              <w:t>Batch/partition-based; never block POS</w:t>
            </w:r>
          </w:p>
        </w:tc>
      </w:tr>
    </w:tbl>
    <w:p>
      <w:pPr>
        <w:pStyle w:val="Heading1"/>
      </w:pPr>
      <w:r>
        <w:t>48. Reporting Views / Materializations</w:t>
      </w:r>
    </w:p>
    <w:p>
      <w:pPr>
        <w:pStyle w:val="ListBullet"/>
      </w:pPr>
      <w:r>
        <w:t>daily_sales_summary, stock_on_hand_summary, customer_balance_summary, supplier_balance_summary, expiry_risk_summary, payment_reconciliation_summary, eod_summary may be views/materialized projections.</w:t>
      </w:r>
    </w:p>
    <w:p>
      <w:pPr>
        <w:pStyle w:val="ListBullet"/>
      </w:pPr>
      <w:r>
        <w:t>Derived reports must be traceable to source events.</w:t>
      </w:r>
    </w:p>
    <w:p>
      <w:pPr>
        <w:pStyle w:val="ListBullet"/>
      </w:pPr>
      <w:r>
        <w:t>Never mutate source ledgers to fix a report; fix the underlying event/reversal.</w:t>
      </w:r>
    </w:p>
    <w:p>
      <w:pPr>
        <w:pStyle w:val="Heading1"/>
      </w:pPr>
      <w:r>
        <w:t>49. Reconciliation Queries</w:t>
      </w:r>
    </w:p>
    <w:p>
      <w:pPr>
        <w:pStyle w:val="ListBullet"/>
      </w:pPr>
      <w:r>
        <w:t>Stock: sum stock movements vs stock_balances.</w:t>
      </w:r>
    </w:p>
    <w:p>
      <w:pPr>
        <w:pStyle w:val="ListBullet"/>
      </w:pPr>
      <w:r>
        <w:t>Customer: sum customer ledger vs credit profile balance projection.</w:t>
      </w:r>
    </w:p>
    <w:p>
      <w:pPr>
        <w:pStyle w:val="ListBullet"/>
      </w:pPr>
      <w:r>
        <w:t>Supplier: sum supplier ledger vs payable projection.</w:t>
      </w:r>
    </w:p>
    <w:p>
      <w:pPr>
        <w:pStyle w:val="ListBullet"/>
      </w:pPr>
      <w:r>
        <w:t>Invoice: lines + taxes + tenders + ledger + stock allocations.</w:t>
      </w:r>
    </w:p>
    <w:p>
      <w:pPr>
        <w:pStyle w:val="ListBullet"/>
      </w:pPr>
      <w:r>
        <w:t>Journal: total debits vs credits.</w:t>
      </w:r>
    </w:p>
    <w:p>
      <w:pPr>
        <w:pStyle w:val="ListBullet"/>
      </w:pPr>
      <w:r>
        <w:t>Payment: provider events vs internal payments vs invoice allocations.</w:t>
      </w:r>
    </w:p>
    <w:p>
      <w:pPr>
        <w:pStyle w:val="ListBullet"/>
      </w:pPr>
      <w:r>
        <w:t>Archive: manifest counts/checksums vs source selection.</w:t>
      </w:r>
    </w:p>
    <w:p>
      <w:pPr>
        <w:pStyle w:val="Heading1"/>
      </w:pPr>
      <w:r>
        <w:t>50. Example End-to-End Sale Trace</w:t>
      </w:r>
    </w:p>
    <w:p>
      <w:pPr>
        <w:pStyle w:val="ListNumber"/>
      </w:pPr>
      <w:r>
        <w:t>sales_invoices created/finalized.</w:t>
      </w:r>
    </w:p>
    <w:p>
      <w:pPr>
        <w:pStyle w:val="ListNumber"/>
      </w:pPr>
      <w:r>
        <w:t>sales_invoice_lines created.</w:t>
      </w:r>
    </w:p>
    <w:p>
      <w:pPr>
        <w:pStyle w:val="ListNumber"/>
      </w:pPr>
      <w:r>
        <w:t>invoice_tax_lines created.</w:t>
      </w:r>
    </w:p>
    <w:p>
      <w:pPr>
        <w:pStyle w:val="ListNumber"/>
      </w:pPr>
      <w:r>
        <w:t>invoice_batch_allocations created for FIFO/FEFO batches.</w:t>
      </w:r>
    </w:p>
    <w:p>
      <w:pPr>
        <w:pStyle w:val="ListNumber"/>
      </w:pPr>
      <w:r>
        <w:t>stock_movements created as negative issue events.</w:t>
      </w:r>
    </w:p>
    <w:p>
      <w:pPr>
        <w:pStyle w:val="ListNumber"/>
      </w:pPr>
      <w:r>
        <w:t>tender/payment records created.</w:t>
      </w:r>
    </w:p>
    <w:p>
      <w:pPr>
        <w:pStyle w:val="ListNumber"/>
      </w:pPr>
      <w:r>
        <w:t>If credit: customer_ledger_entries created.</w:t>
      </w:r>
    </w:p>
    <w:p>
      <w:pPr>
        <w:pStyle w:val="ListNumber"/>
      </w:pPr>
      <w:r>
        <w:t>Journal entry and balanced journal lines created.</w:t>
      </w:r>
    </w:p>
    <w:p>
      <w:pPr>
        <w:pStyle w:val="ListNumber"/>
      </w:pPr>
      <w:r>
        <w:t>Outbox/integration event created.</w:t>
      </w:r>
    </w:p>
    <w:p>
      <w:pPr>
        <w:pStyle w:val="ListNumber"/>
      </w:pPr>
      <w:r>
        <w:t>Invoice committed.</w:t>
      </w:r>
    </w:p>
    <w:p>
      <w:pPr>
        <w:pStyle w:val="ListNumber"/>
      </w:pPr>
      <w:r>
        <w:t>Printer/WhatsApp notification executes asynchronously.</w:t>
      </w:r>
    </w:p>
    <w:p>
      <w:pPr>
        <w:pStyle w:val="ListNumber"/>
      </w:pPr>
      <w:r>
        <w:t>Audit record records finalization.</w:t>
      </w:r>
    </w:p>
    <w:p>
      <w:pPr>
        <w:pStyle w:val="Heading1"/>
      </w:pPr>
      <w:r>
        <w:t>51. Example GRN Trace</w:t>
      </w:r>
    </w:p>
    <w:p>
      <w:pPr>
        <w:pStyle w:val="ListNumber"/>
      </w:pPr>
      <w:r>
        <w:t>Purchase order selected.</w:t>
      </w:r>
    </w:p>
    <w:p>
      <w:pPr>
        <w:pStyle w:val="ListNumber"/>
      </w:pPr>
      <w:r>
        <w:t>goods_receipts and lines created.</w:t>
      </w:r>
    </w:p>
    <w:p>
      <w:pPr>
        <w:pStyle w:val="ListNumber"/>
      </w:pPr>
      <w:r>
        <w:t>Gross/tare/net validation performed.</w:t>
      </w:r>
    </w:p>
    <w:p>
      <w:pPr>
        <w:pStyle w:val="ListNumber"/>
      </w:pPr>
      <w:r>
        <w:t>Batch created/linked.</w:t>
      </w:r>
    </w:p>
    <w:p>
      <w:pPr>
        <w:pStyle w:val="ListNumber"/>
      </w:pPr>
      <w:r>
        <w:t>Stock receipt movement posted.</w:t>
      </w:r>
    </w:p>
    <w:p>
      <w:pPr>
        <w:pStyle w:val="ListNumber"/>
      </w:pPr>
      <w:r>
        <w:t>Supplier payable journal/ledger posted.</w:t>
      </w:r>
    </w:p>
    <w:p>
      <w:pPr>
        <w:pStyle w:val="ListNumber"/>
      </w:pPr>
      <w:r>
        <w:t>GRN finalized.</w:t>
      </w:r>
    </w:p>
    <w:p>
      <w:pPr>
        <w:pStyle w:val="ListNumber"/>
      </w:pPr>
      <w:r>
        <w:t>Audit recorded.</w:t>
      </w:r>
    </w:p>
    <w:p>
      <w:pPr>
        <w:pStyle w:val="ListNumber"/>
      </w:pPr>
      <w:r>
        <w:t>Outbox event can trigger inventory/reorder/report updates.</w:t>
      </w:r>
    </w:p>
    <w:p>
      <w:pPr>
        <w:pStyle w:val="Heading1"/>
      </w:pPr>
      <w:r>
        <w:t>52. Example Contra Trace</w:t>
      </w:r>
    </w:p>
    <w:p>
      <w:pPr>
        <w:pStyle w:val="ListNumber"/>
      </w:pPr>
      <w:r>
        <w:t>Customer and credit balance validated.</w:t>
      </w:r>
    </w:p>
    <w:p>
      <w:pPr>
        <w:pStyle w:val="ListNumber"/>
      </w:pPr>
      <w:r>
        <w:t>Contra transaction drafted.</w:t>
      </w:r>
    </w:p>
    <w:p>
      <w:pPr>
        <w:pStyle w:val="ListNumber"/>
      </w:pPr>
      <w:r>
        <w:t>Product quantity and valuation captured.</w:t>
      </w:r>
    </w:p>
    <w:p>
      <w:pPr>
        <w:pStyle w:val="ListNumber"/>
      </w:pPr>
      <w:r>
        <w:t>Approval if required.</w:t>
      </w:r>
    </w:p>
    <w:p>
      <w:pPr>
        <w:pStyle w:val="ListNumber"/>
      </w:pPr>
      <w:r>
        <w:t>Stock receipt movement posted.</w:t>
      </w:r>
    </w:p>
    <w:p>
      <w:pPr>
        <w:pStyle w:val="ListNumber"/>
      </w:pPr>
      <w:r>
        <w:t>Customer receivable reduction ledger entry posted.</w:t>
      </w:r>
    </w:p>
    <w:p>
      <w:pPr>
        <w:pStyle w:val="ListNumber"/>
      </w:pPr>
      <w:r>
        <w:t>Balanced journal posted.</w:t>
      </w:r>
    </w:p>
    <w:p>
      <w:pPr>
        <w:pStyle w:val="ListNumber"/>
      </w:pPr>
      <w:r>
        <w:t>Contra finalized and audit recorded.</w:t>
      </w:r>
    </w:p>
    <w:p>
      <w:pPr>
        <w:pStyle w:val="Heading1"/>
      </w:pPr>
      <w:r>
        <w:t>53. RLS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Test</w:t>
            </w:r>
          </w:p>
        </w:tc>
        <w:tc>
          <w:tcPr>
            <w:tcW w:type="dxa" w:w="5184"/>
          </w:tcPr>
          <w:p>
            <w:r>
              <w:t>Expected</w:t>
            </w:r>
          </w:p>
        </w:tc>
      </w:tr>
      <w:tr>
        <w:tc>
          <w:tcPr>
            <w:tcW w:type="dxa" w:w="5184"/>
          </w:tcPr>
          <w:p>
            <w:r>
              <w:t>Tenant A SELECT without context</w:t>
            </w:r>
          </w:p>
        </w:tc>
        <w:tc>
          <w:tcPr>
            <w:tcW w:type="dxa" w:w="5184"/>
          </w:tcPr>
          <w:p>
            <w:r>
              <w:t>0 rows / denied</w:t>
            </w:r>
          </w:p>
        </w:tc>
      </w:tr>
      <w:tr>
        <w:tc>
          <w:tcPr>
            <w:tcW w:type="dxa" w:w="5184"/>
          </w:tcPr>
          <w:p>
            <w:r>
              <w:t>Tenant A SELECT with A context</w:t>
            </w:r>
          </w:p>
        </w:tc>
        <w:tc>
          <w:tcPr>
            <w:tcW w:type="dxa" w:w="5184"/>
          </w:tcPr>
          <w:p>
            <w:r>
              <w:t>A rows only</w:t>
            </w:r>
          </w:p>
        </w:tc>
      </w:tr>
      <w:tr>
        <w:tc>
          <w:tcPr>
            <w:tcW w:type="dxa" w:w="5184"/>
          </w:tcPr>
          <w:p>
            <w:r>
              <w:t>Tenant A INSERT with B tenant_id</w:t>
            </w:r>
          </w:p>
        </w:tc>
        <w:tc>
          <w:tcPr>
            <w:tcW w:type="dxa" w:w="5184"/>
          </w:tcPr>
          <w:p>
            <w:r>
              <w:t>Denied</w:t>
            </w:r>
          </w:p>
        </w:tc>
      </w:tr>
      <w:tr>
        <w:tc>
          <w:tcPr>
            <w:tcW w:type="dxa" w:w="5184"/>
          </w:tcPr>
          <w:p>
            <w:r>
              <w:t>Tenant A UPDATE B row</w:t>
            </w:r>
          </w:p>
        </w:tc>
        <w:tc>
          <w:tcPr>
            <w:tcW w:type="dxa" w:w="5184"/>
          </w:tcPr>
          <w:p>
            <w:r>
              <w:t>Denied</w:t>
            </w:r>
          </w:p>
        </w:tc>
      </w:tr>
      <w:tr>
        <w:tc>
          <w:tcPr>
            <w:tcW w:type="dxa" w:w="5184"/>
          </w:tcPr>
          <w:p>
            <w:r>
              <w:t>Tenant A DELETE B row</w:t>
            </w:r>
          </w:p>
        </w:tc>
        <w:tc>
          <w:tcPr>
            <w:tcW w:type="dxa" w:w="5184"/>
          </w:tcPr>
          <w:p>
            <w:r>
              <w:t>Denied</w:t>
            </w:r>
          </w:p>
        </w:tc>
      </w:tr>
      <w:tr>
        <w:tc>
          <w:tcPr>
            <w:tcW w:type="dxa" w:w="5184"/>
          </w:tcPr>
          <w:p>
            <w:r>
              <w:t>Application role attempts BYPASSRLS</w:t>
            </w:r>
          </w:p>
        </w:tc>
        <w:tc>
          <w:tcPr>
            <w:tcW w:type="dxa" w:w="5184"/>
          </w:tcPr>
          <w:p>
            <w:r>
              <w:t>Not permitted</w:t>
            </w:r>
          </w:p>
        </w:tc>
      </w:tr>
      <w:tr>
        <w:tc>
          <w:tcPr>
            <w:tcW w:type="dxa" w:w="5184"/>
          </w:tcPr>
          <w:p>
            <w:r>
              <w:t>Missing tenant context</w:t>
            </w:r>
          </w:p>
        </w:tc>
        <w:tc>
          <w:tcPr>
            <w:tcW w:type="dxa" w:w="5184"/>
          </w:tcPr>
          <w:p>
            <w:r>
              <w:t>Fail closed</w:t>
            </w:r>
          </w:p>
        </w:tc>
      </w:tr>
      <w:tr>
        <w:tc>
          <w:tcPr>
            <w:tcW w:type="dxa" w:w="5184"/>
          </w:tcPr>
          <w:p>
            <w:r>
              <w:t>Admin service path</w:t>
            </w:r>
          </w:p>
        </w:tc>
        <w:tc>
          <w:tcPr>
            <w:tcW w:type="dxa" w:w="5184"/>
          </w:tcPr>
          <w:p>
            <w:r>
              <w:t>Only explicitly authorized scope</w:t>
            </w:r>
          </w:p>
        </w:tc>
      </w:tr>
    </w:tbl>
    <w:p>
      <w:pPr>
        <w:pStyle w:val="Heading1"/>
      </w:pPr>
      <w:r>
        <w:t>54. Database Acceptance Criteria</w:t>
      </w:r>
    </w:p>
    <w:p>
      <w:r>
        <w:t>☐ All tenant-owned tables have tenant_id and RLS.</w:t>
      </w:r>
    </w:p>
    <w:p>
      <w:r>
        <w:t>☐ Critical parent-child relationships prevent cross-tenant references.</w:t>
      </w:r>
    </w:p>
    <w:p>
      <w:r>
        <w:t>☐ All money/weight/quantity columns use approved numeric precision.</w:t>
      </w:r>
    </w:p>
    <w:p>
      <w:r>
        <w:t>☐ Posted financial and inventory events cannot be silently deleted.</w:t>
      </w:r>
    </w:p>
    <w:p>
      <w:r>
        <w:t>☐ Invoice finalization is atomic.</w:t>
      </w:r>
    </w:p>
    <w:p>
      <w:r>
        <w:t>☐ Duplicate offline transaction cannot post twice.</w:t>
      </w:r>
    </w:p>
    <w:p>
      <w:r>
        <w:t>☐ Duplicate payment webhook cannot post twice.</w:t>
      </w:r>
    </w:p>
    <w:p>
      <w:r>
        <w:t>☐ Stock allocation is concurrency safe.</w:t>
      </w:r>
    </w:p>
    <w:p>
      <w:r>
        <w:t>☐ Batch traceability is complete from GRN to sale/return.</w:t>
      </w:r>
    </w:p>
    <w:p>
      <w:r>
        <w:t>☐ Customer and supplier ledgers reconcile.</w:t>
      </w:r>
    </w:p>
    <w:p>
      <w:r>
        <w:t>☐ Journal entries balance.</w:t>
      </w:r>
    </w:p>
    <w:p>
      <w:r>
        <w:t>☐ Archive manifests are verifiable and restorable.</w:t>
      </w:r>
    </w:p>
    <w:p>
      <w:r>
        <w:t>☐ Database backup restore is tested.</w:t>
      </w:r>
    </w:p>
    <w:p>
      <w:r>
        <w:t>☐ Migration suite runs successfully on clean and representative databases.</w:t>
      </w:r>
    </w:p>
    <w:p>
      <w:pPr>
        <w:pStyle w:val="Heading1"/>
      </w:pPr>
      <w:r>
        <w:t>55. Final Physical Schema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Domain</w:t>
            </w:r>
          </w:p>
        </w:tc>
        <w:tc>
          <w:tcPr>
            <w:tcW w:type="dxa" w:w="5184"/>
          </w:tcPr>
          <w:p>
            <w:r>
              <w:t>Tables</w:t>
            </w:r>
          </w:p>
        </w:tc>
      </w:tr>
      <w:tr>
        <w:tc>
          <w:tcPr>
            <w:tcW w:type="dxa" w:w="5184"/>
          </w:tcPr>
          <w:p>
            <w:r>
              <w:t>Tenant</w:t>
            </w:r>
          </w:p>
        </w:tc>
        <w:tc>
          <w:tcPr>
            <w:tcW w:type="dxa" w:w="5184"/>
          </w:tcPr>
          <w:p>
            <w:r>
              <w:t>tenants, tenant_settings, financial_years, document_series, tenant_features</w:t>
            </w:r>
          </w:p>
        </w:tc>
      </w:tr>
      <w:tr>
        <w:tc>
          <w:tcPr>
            <w:tcW w:type="dxa" w:w="5184"/>
          </w:tcPr>
          <w:p>
            <w:r>
              <w:t>Identity</w:t>
            </w:r>
          </w:p>
        </w:tc>
        <w:tc>
          <w:tcPr>
            <w:tcW w:type="dxa" w:w="5184"/>
          </w:tcPr>
          <w:p>
            <w:r>
              <w:t>users, roles, permissions, role_permissions, user_roles, devices, device_sessions</w:t>
            </w:r>
          </w:p>
        </w:tc>
      </w:tr>
      <w:tr>
        <w:tc>
          <w:tcPr>
            <w:tcW w:type="dxa" w:w="5184"/>
          </w:tcPr>
          <w:p>
            <w:r>
              <w:t>Product</w:t>
            </w:r>
          </w:p>
        </w:tc>
        <w:tc>
          <w:tcPr>
            <w:tcW w:type="dxa" w:w="5184"/>
          </w:tcPr>
          <w:p>
            <w:r>
              <w:t>categories, brands, products, product_barcodes, product_aliases, uoms, uom_conversions, product_uoms</w:t>
            </w:r>
          </w:p>
        </w:tc>
      </w:tr>
      <w:tr>
        <w:tc>
          <w:tcPr>
            <w:tcW w:type="dxa" w:w="5184"/>
          </w:tcPr>
          <w:p>
            <w:r>
              <w:t>Pricing/Tax</w:t>
            </w:r>
          </w:p>
        </w:tc>
        <w:tc>
          <w:tcPr>
            <w:tcW w:type="dxa" w:w="5184"/>
          </w:tcPr>
          <w:p>
            <w:r>
              <w:t>customer_tiers, price_lists, price_list_items, tax_profiles</w:t>
            </w:r>
          </w:p>
        </w:tc>
      </w:tr>
      <w:tr>
        <w:tc>
          <w:tcPr>
            <w:tcW w:type="dxa" w:w="5184"/>
          </w:tcPr>
          <w:p>
            <w:r>
              <w:t>Customer</w:t>
            </w:r>
          </w:p>
        </w:tc>
        <w:tc>
          <w:tcPr>
            <w:tcW w:type="dxa" w:w="5184"/>
          </w:tcPr>
          <w:p>
            <w:r>
              <w:t>customers, customer_addresses, customer_credit_profiles, customer_ledger_entries</w:t>
            </w:r>
          </w:p>
        </w:tc>
      </w:tr>
      <w:tr>
        <w:tc>
          <w:tcPr>
            <w:tcW w:type="dxa" w:w="5184"/>
          </w:tcPr>
          <w:p>
            <w:r>
              <w:t>Supplier</w:t>
            </w:r>
          </w:p>
        </w:tc>
        <w:tc>
          <w:tcPr>
            <w:tcW w:type="dxa" w:w="5184"/>
          </w:tcPr>
          <w:p>
            <w:r>
              <w:t>suppliers, supplier_contacts, supplier_bank_accounts, supplier_ledger_entries</w:t>
            </w:r>
          </w:p>
        </w:tc>
      </w:tr>
      <w:tr>
        <w:tc>
          <w:tcPr>
            <w:tcW w:type="dxa" w:w="5184"/>
          </w:tcPr>
          <w:p>
            <w:r>
              <w:t>Location</w:t>
            </w:r>
          </w:p>
        </w:tc>
        <w:tc>
          <w:tcPr>
            <w:tcW w:type="dxa" w:w="5184"/>
          </w:tcPr>
          <w:p>
            <w:r>
              <w:t>inventory_locations</w:t>
            </w:r>
          </w:p>
        </w:tc>
      </w:tr>
      <w:tr>
        <w:tc>
          <w:tcPr>
            <w:tcW w:type="dxa" w:w="5184"/>
          </w:tcPr>
          <w:p>
            <w:r>
              <w:t>Procurement</w:t>
            </w:r>
          </w:p>
        </w:tc>
        <w:tc>
          <w:tcPr>
            <w:tcW w:type="dxa" w:w="5184"/>
          </w:tcPr>
          <w:p>
            <w:r>
              <w:t>purchase_orders, purchase_order_lines, goods_receipts, goods_receipt_lines</w:t>
            </w:r>
          </w:p>
        </w:tc>
      </w:tr>
      <w:tr>
        <w:tc>
          <w:tcPr>
            <w:tcW w:type="dxa" w:w="5184"/>
          </w:tcPr>
          <w:p>
            <w:r>
              <w:t>Inventory</w:t>
            </w:r>
          </w:p>
        </w:tc>
        <w:tc>
          <w:tcPr>
            <w:tcW w:type="dxa" w:w="5184"/>
          </w:tcPr>
          <w:p>
            <w:r>
              <w:t>batches, stock_movements, stock_balances, stock_counts, stock_count_lines, stock_adjustments</w:t>
            </w:r>
          </w:p>
        </w:tc>
      </w:tr>
      <w:tr>
        <w:tc>
          <w:tcPr>
            <w:tcW w:type="dxa" w:w="5184"/>
          </w:tcPr>
          <w:p>
            <w:r>
              <w:t>Sales</w:t>
            </w:r>
          </w:p>
        </w:tc>
        <w:tc>
          <w:tcPr>
            <w:tcW w:type="dxa" w:w="5184"/>
          </w:tcPr>
          <w:p>
            <w:r>
              <w:t>sales_invoices, sales_invoice_lines, invoice_tax_lines, invoice_batch_allocations, sales_returns, sales_return_lines</w:t>
            </w:r>
          </w:p>
        </w:tc>
      </w:tr>
      <w:tr>
        <w:tc>
          <w:tcPr>
            <w:tcW w:type="dxa" w:w="5184"/>
          </w:tcPr>
          <w:p>
            <w:r>
              <w:t>Payments</w:t>
            </w:r>
          </w:p>
        </w:tc>
        <w:tc>
          <w:tcPr>
            <w:tcW w:type="dxa" w:w="5184"/>
          </w:tcPr>
          <w:p>
            <w:r>
              <w:t>payment_intents, payments, payment_allocations, payment_webhook_events, refunds, refund_allocations</w:t>
            </w:r>
          </w:p>
        </w:tc>
      </w:tr>
      <w:tr>
        <w:tc>
          <w:tcPr>
            <w:tcW w:type="dxa" w:w="5184"/>
          </w:tcPr>
          <w:p>
            <w:r>
              <w:t>Accounting</w:t>
            </w:r>
          </w:p>
        </w:tc>
        <w:tc>
          <w:tcPr>
            <w:tcW w:type="dxa" w:w="5184"/>
          </w:tcPr>
          <w:p>
            <w:r>
              <w:t>journal_entries, journal_lines, chart_of_accounts (if enabled)</w:t>
            </w:r>
          </w:p>
        </w:tc>
      </w:tr>
      <w:tr>
        <w:tc>
          <w:tcPr>
            <w:tcW w:type="dxa" w:w="5184"/>
          </w:tcPr>
          <w:p>
            <w:r>
              <w:t>Contra</w:t>
            </w:r>
          </w:p>
        </w:tc>
        <w:tc>
          <w:tcPr>
            <w:tcW w:type="dxa" w:w="5184"/>
          </w:tcPr>
          <w:p>
            <w:r>
              <w:t>contra_transactions, contra_lines</w:t>
            </w:r>
          </w:p>
        </w:tc>
      </w:tr>
      <w:tr>
        <w:tc>
          <w:tcPr>
            <w:tcW w:type="dxa" w:w="5184"/>
          </w:tcPr>
          <w:p>
            <w:r>
              <w:t>Cash/EOD</w:t>
            </w:r>
          </w:p>
        </w:tc>
        <w:tc>
          <w:tcPr>
            <w:tcW w:type="dxa" w:w="5184"/>
          </w:tcPr>
          <w:p>
            <w:r>
              <w:t>cash_sessions, cash_movements, eod_sessions</w:t>
            </w:r>
          </w:p>
        </w:tc>
      </w:tr>
      <w:tr>
        <w:tc>
          <w:tcPr>
            <w:tcW w:type="dxa" w:w="5184"/>
          </w:tcPr>
          <w:p>
            <w:r>
              <w:t>Messaging</w:t>
            </w:r>
          </w:p>
        </w:tc>
        <w:tc>
          <w:tcPr>
            <w:tcW w:type="dxa" w:w="5184"/>
          </w:tcPr>
          <w:p>
            <w:r>
              <w:t>message_templates, notification_jobs, message_deliveries</w:t>
            </w:r>
          </w:p>
        </w:tc>
      </w:tr>
      <w:tr>
        <w:tc>
          <w:tcPr>
            <w:tcW w:type="dxa" w:w="5184"/>
          </w:tcPr>
          <w:p>
            <w:r>
              <w:t>Sync</w:t>
            </w:r>
          </w:p>
        </w:tc>
        <w:tc>
          <w:tcPr>
            <w:tcW w:type="dxa" w:w="5184"/>
          </w:tcPr>
          <w:p>
            <w:r>
              <w:t>sync_transactions, sync_conflicts, sync_cursors</w:t>
            </w:r>
          </w:p>
        </w:tc>
      </w:tr>
      <w:tr>
        <w:tc>
          <w:tcPr>
            <w:tcW w:type="dxa" w:w="5184"/>
          </w:tcPr>
          <w:p>
            <w:r>
              <w:t>Compliance</w:t>
            </w:r>
          </w:p>
        </w:tc>
        <w:tc>
          <w:tcPr>
            <w:tcW w:type="dxa" w:w="5184"/>
          </w:tcPr>
          <w:p>
            <w:r>
              <w:t>compliance_requests, compliance_responses, compliance_documents, export_jobs</w:t>
            </w:r>
          </w:p>
        </w:tc>
      </w:tr>
      <w:tr>
        <w:tc>
          <w:tcPr>
            <w:tcW w:type="dxa" w:w="5184"/>
          </w:tcPr>
          <w:p>
            <w:r>
              <w:t>Archive</w:t>
            </w:r>
          </w:p>
        </w:tc>
        <w:tc>
          <w:tcPr>
            <w:tcW w:type="dxa" w:w="5184"/>
          </w:tcPr>
          <w:p>
            <w:r>
              <w:t>archive_jobs, archive_manifests, archive_objects, archive_restore_tests</w:t>
            </w:r>
          </w:p>
        </w:tc>
      </w:tr>
      <w:tr>
        <w:tc>
          <w:tcPr>
            <w:tcW w:type="dxa" w:w="5184"/>
          </w:tcPr>
          <w:p>
            <w:r>
              <w:t>Audit/Files</w:t>
            </w:r>
          </w:p>
        </w:tc>
        <w:tc>
          <w:tcPr>
            <w:tcW w:type="dxa" w:w="5184"/>
          </w:tcPr>
          <w:p>
            <w:r>
              <w:t>audit_logs, attachments, integration_events, system_jobs</w:t>
            </w:r>
          </w:p>
        </w:tc>
      </w:tr>
    </w:tbl>
    <w:p>
      <w:pPr>
        <w:pStyle w:val="Heading1"/>
      </w:pPr>
      <w:r>
        <w:t>56. Final Design Principle</w:t>
      </w:r>
    </w:p>
    <w:p>
      <w:r>
        <w:t>The database is not a collection of CRUD tables. It is the financial, inventory and audit backbone of the business. Product masters describe what can be sold; stock movements describe what physically happened; invoices describe what was sold; payments describe how it was settled; customer/supplier ledgers describe who owes whom; journals describe the accounting effect; sync records describe how offline actions reached the authority; audit records describe who changed what; archive manifests describe how historical evidence is preserved.</w:t>
      </w:r>
    </w:p>
    <w:p>
      <w:r>
        <w:t>This model is the authoritative database baseline for the next documents: Complete API Specification, Go Backend Technical Architecture, Flutter Architecture, Offline Synchronization Specification, Inventory &amp; Batch Engine Specification, Accounting &amp; Khata Specification and POS/Billing Engine Specification.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Andipatti Animal Feed System — Complete Database &amp; ERD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