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EE0" w:rsidRDefault="00AA2A0D">
      <w:pPr>
        <w:spacing w:before="1200" w:after="200"/>
        <w:jc w:val="center"/>
      </w:pPr>
      <w:proofErr w:type="spellStart"/>
      <w:r>
        <w:rPr>
          <w:b/>
          <w:bCs/>
          <w:color w:val="1A2B4A"/>
          <w:sz w:val="28"/>
          <w:szCs w:val="28"/>
        </w:rPr>
        <w:t>Technische</w:t>
      </w:r>
      <w:proofErr w:type="spellEnd"/>
      <w:r>
        <w:rPr>
          <w:b/>
          <w:bCs/>
          <w:color w:val="1A2B4A"/>
          <w:sz w:val="28"/>
          <w:szCs w:val="28"/>
        </w:rPr>
        <w:t xml:space="preserve"> </w:t>
      </w:r>
      <w:proofErr w:type="spellStart"/>
      <w:r>
        <w:rPr>
          <w:b/>
          <w:bCs/>
          <w:color w:val="1A2B4A"/>
          <w:sz w:val="28"/>
          <w:szCs w:val="28"/>
        </w:rPr>
        <w:t>Hochschule</w:t>
      </w:r>
      <w:proofErr w:type="spellEnd"/>
      <w:r>
        <w:rPr>
          <w:b/>
          <w:bCs/>
          <w:color w:val="1A2B4A"/>
          <w:sz w:val="28"/>
          <w:szCs w:val="28"/>
        </w:rPr>
        <w:t xml:space="preserve"> </w:t>
      </w:r>
      <w:proofErr w:type="spellStart"/>
      <w:r>
        <w:rPr>
          <w:b/>
          <w:bCs/>
          <w:color w:val="1A2B4A"/>
          <w:sz w:val="28"/>
          <w:szCs w:val="28"/>
        </w:rPr>
        <w:t>Mittelhessen</w:t>
      </w:r>
      <w:proofErr w:type="spellEnd"/>
      <w:r>
        <w:rPr>
          <w:b/>
          <w:bCs/>
          <w:color w:val="1A2B4A"/>
          <w:sz w:val="28"/>
          <w:szCs w:val="28"/>
        </w:rPr>
        <w:t xml:space="preserve"> (THM)</w:t>
      </w:r>
    </w:p>
    <w:p w:rsidR="00395EE0" w:rsidRDefault="00AA2A0D">
      <w:pPr>
        <w:spacing w:after="400"/>
        <w:jc w:val="center"/>
      </w:pPr>
      <w:r>
        <w:rPr>
          <w:color w:val="6C757D"/>
          <w:sz w:val="24"/>
          <w:szCs w:val="24"/>
        </w:rPr>
        <w:t>M.Sc. Business Informatics — Advanced Analytics</w:t>
      </w:r>
    </w:p>
    <w:p w:rsidR="00395EE0" w:rsidRDefault="00AA2A0D">
      <w:pPr>
        <w:spacing w:before="600" w:after="200"/>
        <w:jc w:val="center"/>
      </w:pPr>
      <w:r>
        <w:rPr>
          <w:b/>
          <w:bCs/>
          <w:color w:val="1A2B4A"/>
          <w:sz w:val="40"/>
          <w:szCs w:val="40"/>
        </w:rPr>
        <w:t>Real-Time Risk Dashboard</w:t>
      </w:r>
    </w:p>
    <w:p w:rsidR="00395EE0" w:rsidRDefault="00AA2A0D">
      <w:pPr>
        <w:spacing w:after="600"/>
        <w:jc w:val="center"/>
      </w:pPr>
      <w:proofErr w:type="spellStart"/>
      <w:r>
        <w:rPr>
          <w:i/>
          <w:iCs/>
          <w:color w:val="6C757D"/>
          <w:sz w:val="24"/>
          <w:szCs w:val="24"/>
        </w:rPr>
        <w:t>VaR</w:t>
      </w:r>
      <w:proofErr w:type="spellEnd"/>
      <w:r>
        <w:rPr>
          <w:i/>
          <w:iCs/>
          <w:color w:val="6C757D"/>
          <w:sz w:val="24"/>
          <w:szCs w:val="24"/>
        </w:rPr>
        <w:t xml:space="preserve"> + KPI Integration Across 15 Stocks and 6 Sectors (2022–2025)</w:t>
      </w:r>
    </w:p>
    <w:p w:rsidR="00395EE0" w:rsidRDefault="00AA2A0D">
      <w:pPr>
        <w:spacing w:before="400" w:after="100"/>
        <w:jc w:val="center"/>
      </w:pPr>
      <w:r>
        <w:t>Course: WK_2403 — Applied Quantitative Methods</w:t>
      </w:r>
    </w:p>
    <w:p w:rsidR="00395EE0" w:rsidRDefault="00AA2A0D">
      <w:pPr>
        <w:spacing w:after="100"/>
        <w:jc w:val="center"/>
      </w:pPr>
      <w:r>
        <w:t>Course Area: MSc Business Informatics</w:t>
      </w:r>
    </w:p>
    <w:p w:rsidR="00395EE0" w:rsidRDefault="00AA2A0D">
      <w:pPr>
        <w:spacing w:after="400"/>
        <w:jc w:val="center"/>
      </w:pPr>
      <w:r>
        <w:rPr>
          <w:color w:val="6C757D"/>
          <w:sz w:val="20"/>
          <w:szCs w:val="20"/>
        </w:rPr>
        <w:t>Moodle: moodle.thm.de/course/</w:t>
      </w:r>
      <w:proofErr w:type="spellStart"/>
      <w:r>
        <w:rPr>
          <w:color w:val="6C757D"/>
          <w:sz w:val="20"/>
          <w:szCs w:val="20"/>
        </w:rPr>
        <w:t>view.php?id</w:t>
      </w:r>
      <w:proofErr w:type="spellEnd"/>
      <w:r>
        <w:rPr>
          <w:color w:val="6C757D"/>
          <w:sz w:val="20"/>
          <w:szCs w:val="20"/>
        </w:rPr>
        <w:t>=7015</w:t>
      </w:r>
    </w:p>
    <w:p w:rsidR="00395EE0" w:rsidRDefault="00AA2A0D">
      <w:pPr>
        <w:spacing w:before="400" w:after="160"/>
        <w:jc w:val="center"/>
        <w:rPr>
          <w:b/>
          <w:bCs/>
          <w:color w:val="1A2B4A"/>
          <w:sz w:val="24"/>
          <w:szCs w:val="24"/>
        </w:rPr>
      </w:pPr>
      <w:r>
        <w:rPr>
          <w:b/>
          <w:bCs/>
          <w:color w:val="1A2B4A"/>
          <w:sz w:val="24"/>
          <w:szCs w:val="24"/>
        </w:rPr>
        <w:t>Group Members</w:t>
      </w:r>
    </w:p>
    <w:p w:rsidR="00E44F08" w:rsidRDefault="00E44F08" w:rsidP="00E44F08">
      <w:pPr>
        <w:spacing w:after="60"/>
        <w:jc w:val="center"/>
      </w:pPr>
      <w:proofErr w:type="spellStart"/>
      <w:r>
        <w:t>Guliyev</w:t>
      </w:r>
      <w:proofErr w:type="spellEnd"/>
      <w:r>
        <w:t xml:space="preserve"> </w:t>
      </w:r>
      <w:proofErr w:type="spellStart"/>
      <w:r>
        <w:t>Ruslan</w:t>
      </w:r>
      <w:proofErr w:type="spellEnd"/>
    </w:p>
    <w:p w:rsidR="00395EE0" w:rsidRDefault="00E44F08">
      <w:pPr>
        <w:spacing w:after="60"/>
        <w:jc w:val="center"/>
      </w:pPr>
      <w:proofErr w:type="spellStart"/>
      <w:r>
        <w:t>Grebenshchikova</w:t>
      </w:r>
      <w:proofErr w:type="spellEnd"/>
      <w:r w:rsidR="00AA2A0D">
        <w:t xml:space="preserve"> </w:t>
      </w:r>
      <w:proofErr w:type="spellStart"/>
      <w:r w:rsidR="00AA2A0D">
        <w:t>Oleksandra</w:t>
      </w:r>
      <w:proofErr w:type="spellEnd"/>
    </w:p>
    <w:p w:rsidR="00395EE0" w:rsidRDefault="00AA2A0D">
      <w:pPr>
        <w:spacing w:after="60"/>
        <w:jc w:val="center"/>
      </w:pPr>
      <w:proofErr w:type="spellStart"/>
      <w:r>
        <w:t>Ogbaka</w:t>
      </w:r>
      <w:proofErr w:type="spellEnd"/>
      <w:r>
        <w:t xml:space="preserve"> </w:t>
      </w:r>
      <w:proofErr w:type="spellStart"/>
      <w:r>
        <w:t>Ogochukwu</w:t>
      </w:r>
      <w:proofErr w:type="spellEnd"/>
    </w:p>
    <w:p w:rsidR="00395EE0" w:rsidRDefault="00E44F08">
      <w:pPr>
        <w:spacing w:after="400"/>
        <w:jc w:val="center"/>
      </w:pPr>
      <w:proofErr w:type="spellStart"/>
      <w:r>
        <w:t>Devendran</w:t>
      </w:r>
      <w:proofErr w:type="spellEnd"/>
      <w:r w:rsidR="00AA2A0D">
        <w:t xml:space="preserve"> </w:t>
      </w:r>
      <w:proofErr w:type="spellStart"/>
      <w:r w:rsidR="00AA2A0D">
        <w:t>Aishwarya</w:t>
      </w:r>
      <w:proofErr w:type="spellEnd"/>
    </w:p>
    <w:p w:rsidR="00395EE0" w:rsidRDefault="00AA2A0D">
      <w:r>
        <w:br w:type="page"/>
      </w:r>
    </w:p>
    <w:p w:rsidR="00395EE0" w:rsidRDefault="00AA2A0D">
      <w:pPr>
        <w:pStyle w:val="Heading1"/>
        <w:spacing w:before="360" w:after="160"/>
      </w:pPr>
      <w:r>
        <w:lastRenderedPageBreak/>
        <w:t>1. Project Overview</w:t>
      </w:r>
    </w:p>
    <w:p w:rsidR="00395EE0" w:rsidRDefault="00AA2A0D">
      <w:pPr>
        <w:spacing w:after="160"/>
      </w:pPr>
      <w:r>
        <w:t>This project delivers an end-to-end quantitative risk analytics pipeline for a 15-stock, 6-sector equity portfolio (2022–2025), covering data acquisition, Value-at-Risk (</w:t>
      </w:r>
      <w:proofErr w:type="spellStart"/>
      <w:r>
        <w:t>VaR</w:t>
      </w:r>
      <w:proofErr w:type="spellEnd"/>
      <w:r>
        <w:t xml:space="preserve">) modelling, KPI computation, sector clustering, </w:t>
      </w:r>
      <w:proofErr w:type="spellStart"/>
      <w:r>
        <w:t>backtesting</w:t>
      </w:r>
      <w:proofErr w:type="spellEnd"/>
      <w:r>
        <w:t>, and two parallel presentation layers: an interactive Python web dashboard and a Power BI report. The project was developed as coursework for Applied Quantitative Methods (WK_2403) and additionally deployed as a live, publicly accessible web application.</w:t>
      </w:r>
    </w:p>
    <w:p w:rsidR="00395EE0" w:rsidRDefault="00AA2A0D">
      <w:pPr>
        <w:spacing w:after="160"/>
      </w:pPr>
      <w:r>
        <w:t>Portfolio composition: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Financials: JPM, GS, HLI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Tech: AAPL, PLTR, META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Healthcare: JNJ, MRK, UNH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Consumer Staples: MCD, KO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Beauty: EL, ULTA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Energy: XOM, CVX</w:t>
      </w:r>
    </w:p>
    <w:p w:rsidR="00395EE0" w:rsidRDefault="00AA2A0D">
      <w:pPr>
        <w:pStyle w:val="Heading1"/>
        <w:spacing w:before="360" w:after="160"/>
      </w:pPr>
      <w:r>
        <w:t>2. Data &amp; Methodology</w:t>
      </w:r>
    </w:p>
    <w:p w:rsidR="00395EE0" w:rsidRDefault="00AA2A0D">
      <w:pPr>
        <w:pStyle w:val="Heading2"/>
        <w:spacing w:before="240" w:after="120"/>
      </w:pPr>
      <w:r>
        <w:t>2.1 Data Source</w:t>
      </w:r>
    </w:p>
    <w:p w:rsidR="00395EE0" w:rsidRDefault="00AA2A0D">
      <w:pPr>
        <w:spacing w:after="160"/>
      </w:pPr>
      <w:r>
        <w:t xml:space="preserve">Historical daily price data (2022–2025) was retrieved via the </w:t>
      </w:r>
      <w:proofErr w:type="spellStart"/>
      <w:r>
        <w:t>yfinance</w:t>
      </w:r>
      <w:proofErr w:type="spellEnd"/>
      <w:r>
        <w:t xml:space="preserve"> API for all 15 tickers and stored locally (data/raw/prices.csv, data/</w:t>
      </w:r>
      <w:proofErr w:type="spellStart"/>
      <w:r>
        <w:t>risk_data.db</w:t>
      </w:r>
      <w:proofErr w:type="spellEnd"/>
      <w:r>
        <w:t>).</w:t>
      </w:r>
    </w:p>
    <w:p w:rsidR="00395EE0" w:rsidRDefault="00AA2A0D">
      <w:pPr>
        <w:pStyle w:val="Heading2"/>
        <w:spacing w:before="240" w:after="120"/>
      </w:pPr>
      <w:r>
        <w:t>2.2 Value-at-Risk (</w:t>
      </w:r>
      <w:proofErr w:type="spellStart"/>
      <w:r>
        <w:t>VaR</w:t>
      </w:r>
      <w:proofErr w:type="spellEnd"/>
      <w:r>
        <w:t>)</w:t>
      </w:r>
    </w:p>
    <w:p w:rsidR="00395EE0" w:rsidRDefault="00AA2A0D">
      <w:pPr>
        <w:spacing w:after="160"/>
      </w:pPr>
      <w:r>
        <w:t xml:space="preserve">Three independent </w:t>
      </w:r>
      <w:proofErr w:type="spellStart"/>
      <w:r>
        <w:t>VaR</w:t>
      </w:r>
      <w:proofErr w:type="spellEnd"/>
      <w:r>
        <w:t xml:space="preserve"> methodologies were implemented and compared at both 95% and 99% confidence levels: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 xml:space="preserve">Historical </w:t>
      </w:r>
      <w:proofErr w:type="spellStart"/>
      <w:r>
        <w:t>VaR</w:t>
      </w:r>
      <w:proofErr w:type="spellEnd"/>
      <w:r>
        <w:t xml:space="preserve"> — empirical percentile taken directly from observed historical returns, no distributional assumption.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 xml:space="preserve">Parametric </w:t>
      </w:r>
      <w:proofErr w:type="spellStart"/>
      <w:r>
        <w:t>VaR</w:t>
      </w:r>
      <w:proofErr w:type="spellEnd"/>
      <w:r>
        <w:t xml:space="preserve"> — assumes normally distributed returns; </w:t>
      </w:r>
      <w:proofErr w:type="spellStart"/>
      <w:r>
        <w:t>VaR</w:t>
      </w:r>
      <w:proofErr w:type="spellEnd"/>
      <w:r>
        <w:t xml:space="preserve"> derived analytically from mean and standard deviation.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 xml:space="preserve">Monte Carlo </w:t>
      </w:r>
      <w:proofErr w:type="spellStart"/>
      <w:r>
        <w:t>VaR</w:t>
      </w:r>
      <w:proofErr w:type="spellEnd"/>
      <w:r>
        <w:t xml:space="preserve"> — thousands of simulated return paths generated from the stock's statistical properties, </w:t>
      </w:r>
      <w:proofErr w:type="spellStart"/>
      <w:r>
        <w:t>VaR</w:t>
      </w:r>
      <w:proofErr w:type="spellEnd"/>
      <w:r>
        <w:t xml:space="preserve"> read from the simulated distribution.</w:t>
      </w:r>
    </w:p>
    <w:p w:rsidR="00395EE0" w:rsidRDefault="00AA2A0D">
      <w:pPr>
        <w:pStyle w:val="Heading2"/>
        <w:spacing w:before="240" w:after="120"/>
      </w:pPr>
      <w:r>
        <w:t>2.3 KPI Suite</w:t>
      </w:r>
    </w:p>
    <w:p w:rsidR="00395EE0" w:rsidRDefault="00AA2A0D">
      <w:pPr>
        <w:spacing w:after="160"/>
      </w:pPr>
      <w:r>
        <w:t>For every stock, five core performance/risk KPIs were computed: Sharpe Ratio, Maximum Drawdown, Beta (vs. market), Annualized Volatility, and CAGR.</w:t>
      </w:r>
    </w:p>
    <w:p w:rsidR="00395EE0" w:rsidRDefault="00AA2A0D">
      <w:pPr>
        <w:pStyle w:val="Heading2"/>
        <w:spacing w:before="240" w:after="120"/>
      </w:pPr>
      <w:r>
        <w:t>2.4 Sector Clustering</w:t>
      </w:r>
    </w:p>
    <w:p w:rsidR="00395EE0" w:rsidRDefault="00AA2A0D">
      <w:pPr>
        <w:spacing w:after="160"/>
      </w:pPr>
      <w:r>
        <w:t xml:space="preserve">Stocks were grouped into three </w:t>
      </w:r>
      <w:proofErr w:type="spellStart"/>
      <w:r>
        <w:t>behavioural</w:t>
      </w:r>
      <w:proofErr w:type="spellEnd"/>
      <w:r>
        <w:t xml:space="preserve"> clusters (High Risk/High Return, Balanced, Defensive/Low Risk) based on volatility and Sharpe Ratio, using unsupervised clustering (</w:t>
      </w:r>
      <w:proofErr w:type="spellStart"/>
      <w:r>
        <w:t>scikit</w:t>
      </w:r>
      <w:proofErr w:type="spellEnd"/>
      <w:r>
        <w:t>-learn).</w:t>
      </w:r>
    </w:p>
    <w:p w:rsidR="00395EE0" w:rsidRDefault="00AA2A0D">
      <w:pPr>
        <w:pStyle w:val="Heading2"/>
        <w:spacing w:before="240" w:after="120"/>
      </w:pPr>
      <w:r>
        <w:t xml:space="preserve">2.5 </w:t>
      </w:r>
      <w:proofErr w:type="spellStart"/>
      <w:r>
        <w:t>Backtesting</w:t>
      </w:r>
      <w:proofErr w:type="spellEnd"/>
    </w:p>
    <w:p w:rsidR="00395EE0" w:rsidRDefault="00AA2A0D">
      <w:pPr>
        <w:spacing w:after="160"/>
      </w:pPr>
      <w:proofErr w:type="spellStart"/>
      <w:r>
        <w:t>VaR</w:t>
      </w:r>
      <w:proofErr w:type="spellEnd"/>
      <w:r>
        <w:t xml:space="preserve"> model accuracy was validated via </w:t>
      </w:r>
      <w:proofErr w:type="spellStart"/>
      <w:r>
        <w:t>backtesting</w:t>
      </w:r>
      <w:proofErr w:type="spellEnd"/>
      <w:r>
        <w:t xml:space="preserve"> — comparing predicted </w:t>
      </w:r>
      <w:proofErr w:type="spellStart"/>
      <w:r>
        <w:t>VaR</w:t>
      </w:r>
      <w:proofErr w:type="spellEnd"/>
      <w:r>
        <w:t xml:space="preserve"> thresholds against actual historical breach frequency for each stock and method.</w:t>
      </w:r>
    </w:p>
    <w:p w:rsidR="00395EE0" w:rsidRDefault="00AA2A0D">
      <w:pPr>
        <w:pStyle w:val="Heading1"/>
        <w:spacing w:before="360" w:after="160"/>
      </w:pPr>
      <w:r>
        <w:lastRenderedPageBreak/>
        <w:t>3. Tools &amp; Technology Stack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 xml:space="preserve">Python: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scikit</w:t>
      </w:r>
      <w:proofErr w:type="spellEnd"/>
      <w:r>
        <w:t>-learn — data processing, statistics, clustering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proofErr w:type="spellStart"/>
      <w:r>
        <w:t>yfinance</w:t>
      </w:r>
      <w:proofErr w:type="spellEnd"/>
      <w:r>
        <w:t xml:space="preserve"> — market data acquisition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proofErr w:type="spellStart"/>
      <w:r>
        <w:t>Plotly</w:t>
      </w:r>
      <w:proofErr w:type="spellEnd"/>
      <w:r>
        <w:t xml:space="preserve"> &amp; Dash — interactive web dashboard (charts, filters, callbacks)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proofErr w:type="spellStart"/>
      <w:r>
        <w:t>Matplotlib</w:t>
      </w:r>
      <w:proofErr w:type="spellEnd"/>
      <w:r>
        <w:t xml:space="preserve"> / </w:t>
      </w:r>
      <w:proofErr w:type="spellStart"/>
      <w:r>
        <w:t>Seaborn</w:t>
      </w:r>
      <w:proofErr w:type="spellEnd"/>
      <w:r>
        <w:t xml:space="preserve"> — static analytical charts (in notebooks and reports)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SQLite (</w:t>
      </w:r>
      <w:proofErr w:type="spellStart"/>
      <w:r>
        <w:t>risk_data.db</w:t>
      </w:r>
      <w:proofErr w:type="spellEnd"/>
      <w:r>
        <w:t>) — local structured data storage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Power BI — business-facing interactive report (</w:t>
      </w:r>
      <w:proofErr w:type="spellStart"/>
      <w:r>
        <w:t>Risk_AQM.pbix</w:t>
      </w:r>
      <w:proofErr w:type="spellEnd"/>
      <w:r>
        <w:t>)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proofErr w:type="spellStart"/>
      <w:r>
        <w:t>Jupyter</w:t>
      </w:r>
      <w:proofErr w:type="spellEnd"/>
      <w:r>
        <w:t xml:space="preserve"> Notebooks — step-by-step analytical pipeline (Steps 4 through 14)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GitHub — version control and source hosting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Render (cloud PaaS) — public deployment of the live web dashboard</w:t>
      </w:r>
    </w:p>
    <w:p w:rsidR="00395EE0" w:rsidRDefault="00AA2A0D">
      <w:pPr>
        <w:pStyle w:val="Heading1"/>
        <w:spacing w:before="360" w:after="160"/>
      </w:pPr>
      <w:r>
        <w:t>4. Analytical Pipeline (Notebooks)</w:t>
      </w:r>
    </w:p>
    <w:p w:rsidR="00395EE0" w:rsidRDefault="00AA2A0D">
      <w:pPr>
        <w:spacing w:after="160"/>
      </w:pPr>
      <w:r>
        <w:t>The analysis was structured as a sequential notebook pipeline, each step building on the previous one's output: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Step 4–5: Data acquisition and cleaning (returns_clean.csv)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Step 6: Live price fetch functions (</w:t>
      </w:r>
      <w:proofErr w:type="spellStart"/>
      <w:r>
        <w:t>yfinance</w:t>
      </w:r>
      <w:proofErr w:type="spellEnd"/>
      <w:r>
        <w:t xml:space="preserve"> intraday, 1-minute interval) — later integrated into the live dashboard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 xml:space="preserve">Step 7–9: Historical, Parametric, and Monte Carlo </w:t>
      </w:r>
      <w:proofErr w:type="spellStart"/>
      <w:r>
        <w:t>VaR</w:t>
      </w:r>
      <w:proofErr w:type="spellEnd"/>
      <w:r>
        <w:t xml:space="preserve"> calculation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Step 10: KPI computation (Sharpe, Drawdown, Beta, Volatility, CAGR)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Step 11: Sector/risk clustering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 xml:space="preserve">Step 12: </w:t>
      </w:r>
      <w:proofErr w:type="spellStart"/>
      <w:r>
        <w:t>Backtesting</w:t>
      </w:r>
      <w:proofErr w:type="spellEnd"/>
      <w:r>
        <w:t xml:space="preserve"> of </w:t>
      </w:r>
      <w:proofErr w:type="spellStart"/>
      <w:r>
        <w:t>VaR</w:t>
      </w:r>
      <w:proofErr w:type="spellEnd"/>
      <w:r>
        <w:t xml:space="preserve"> models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Step 13: Power BI data export (powerbi_data.xlsx)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Step 14: Final visualizations and static chart generation</w:t>
      </w:r>
    </w:p>
    <w:p w:rsidR="00395EE0" w:rsidRDefault="00AA2A0D">
      <w:pPr>
        <w:pStyle w:val="Heading1"/>
        <w:spacing w:before="360" w:after="160"/>
      </w:pPr>
      <w:r>
        <w:t>5. Interactive Dashboard (Python / Dash)</w:t>
      </w:r>
    </w:p>
    <w:p w:rsidR="00395EE0" w:rsidRDefault="00AA2A0D">
      <w:pPr>
        <w:spacing w:after="160"/>
      </w:pPr>
      <w:r>
        <w:t>A Dash (</w:t>
      </w:r>
      <w:proofErr w:type="spellStart"/>
      <w:r>
        <w:t>Plotly</w:t>
      </w:r>
      <w:proofErr w:type="spellEnd"/>
      <w:r>
        <w:t>) web application (dashboard/app.py) was built to present all analytical outputs interactively: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Stock selector (15 tickers) with sector labels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Confidence Level toggle (95% / 99%)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proofErr w:type="spellStart"/>
      <w:r>
        <w:t>VaR</w:t>
      </w:r>
      <w:proofErr w:type="spellEnd"/>
      <w:r>
        <w:t xml:space="preserve"> Method toggle (Historical / Parametric / Monte Carlo)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KPI cards (Sharpe, Max Drawdown, Beta, Volatility, CAGR, Sector) per selected stock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Price history chart per selected stock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 xml:space="preserve">Returns distribution histogram with </w:t>
      </w:r>
      <w:proofErr w:type="spellStart"/>
      <w:r>
        <w:t>VaR</w:t>
      </w:r>
      <w:proofErr w:type="spellEnd"/>
      <w:r>
        <w:t xml:space="preserve"> threshold overlay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 xml:space="preserve">All-3-methods </w:t>
      </w:r>
      <w:proofErr w:type="spellStart"/>
      <w:r>
        <w:t>VaR</w:t>
      </w:r>
      <w:proofErr w:type="spellEnd"/>
      <w:r>
        <w:t xml:space="preserve"> comparison chart across all 15 stocks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Risk/return clustering scatter plot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KPI comparison bar charts across all stocks</w:t>
      </w:r>
    </w:p>
    <w:p w:rsidR="00395EE0" w:rsidRDefault="00AA2A0D">
      <w:pPr>
        <w:pStyle w:val="Heading2"/>
        <w:spacing w:before="240" w:after="120"/>
      </w:pPr>
      <w:r>
        <w:t>5.1 New Additions Made During Deployment</w:t>
      </w:r>
    </w:p>
    <w:p w:rsidR="00395EE0" w:rsidRDefault="00AA2A0D">
      <w:pPr>
        <w:spacing w:after="160"/>
      </w:pPr>
      <w:r>
        <w:t>Two enhancements were added beyond the original coursework version: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Live price panel: wired the previously unused auto-refresh timer to a live intraday price fetch (reusing the </w:t>
      </w:r>
      <w:proofErr w:type="spellStart"/>
      <w:r>
        <w:t>get_live_prices</w:t>
      </w:r>
      <w:proofErr w:type="spellEnd"/>
      <w:r>
        <w:t>() logic originally prototyped in Step 6), showing a genuinely real-time updating price badge for the selected stock, refreshed automatically every 60 seconds.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 xml:space="preserve">All Stocks &amp; Sectors Overview section: a normalized (base-100) price comparison chart showing all 15 stocks together </w:t>
      </w:r>
      <w:proofErr w:type="spellStart"/>
      <w:r>
        <w:t>colour</w:t>
      </w:r>
      <w:proofErr w:type="spellEnd"/>
      <w:r>
        <w:t>-coded by sector, plus a full KPI table listing every stock's metrics side-by-side, to complement the original single-stock detail view.</w:t>
      </w:r>
    </w:p>
    <w:p w:rsidR="00395EE0" w:rsidRDefault="00AA2A0D">
      <w:pPr>
        <w:pStyle w:val="Heading1"/>
        <w:spacing w:before="360" w:after="160"/>
      </w:pPr>
      <w:r>
        <w:t>6. Deployment</w:t>
      </w:r>
    </w:p>
    <w:p w:rsidR="00395EE0" w:rsidRDefault="00AA2A0D">
      <w:pPr>
        <w:spacing w:after="160"/>
      </w:pPr>
      <w:r>
        <w:t>The dashboard was published as a live, publicly accessible website using the following pipeline: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Source code hosted on GitHub (public repository)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Continuous deployment configured on Render (Free tier Web Service)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 xml:space="preserve">Production server: </w:t>
      </w:r>
      <w:proofErr w:type="spellStart"/>
      <w:r>
        <w:t>gunicorn</w:t>
      </w:r>
      <w:proofErr w:type="spellEnd"/>
      <w:r>
        <w:t>, serving the Dash app's underlying Flask instance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Build command: pip install -r requirements.txt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 xml:space="preserve">Start command: </w:t>
      </w:r>
      <w:proofErr w:type="spellStart"/>
      <w:r>
        <w:t>gunicorn</w:t>
      </w:r>
      <w:proofErr w:type="spellEnd"/>
      <w:r>
        <w:t xml:space="preserve"> --</w:t>
      </w:r>
      <w:proofErr w:type="spellStart"/>
      <w:r>
        <w:t>chdir</w:t>
      </w:r>
      <w:proofErr w:type="spellEnd"/>
      <w:r>
        <w:t xml:space="preserve"> dashboard </w:t>
      </w:r>
      <w:proofErr w:type="spellStart"/>
      <w:r>
        <w:t>app:server</w:t>
      </w:r>
      <w:proofErr w:type="spellEnd"/>
    </w:p>
    <w:p w:rsidR="00AA2A0D" w:rsidRDefault="00AA2A0D">
      <w:pPr>
        <w:spacing w:after="160"/>
        <w:rPr>
          <w:b/>
          <w:sz w:val="28"/>
          <w:szCs w:val="28"/>
        </w:rPr>
      </w:pPr>
      <w:r w:rsidRPr="00CF4AF1">
        <w:rPr>
          <w:b/>
          <w:sz w:val="28"/>
          <w:szCs w:val="28"/>
        </w:rPr>
        <w:t>GitHub Repository:</w:t>
      </w:r>
    </w:p>
    <w:p w:rsidR="00AA2A0D" w:rsidRDefault="00B6311B">
      <w:pPr>
        <w:spacing w:after="160"/>
        <w:rPr>
          <w:rFonts w:ascii="Segoe UI Symbol" w:hAnsi="Segoe UI Symbol" w:cs="Segoe UI Symbol"/>
        </w:rPr>
      </w:pPr>
      <w:hyperlink r:id="rId5" w:history="1">
        <w:r w:rsidRPr="00B6311B">
          <w:rPr>
            <w:rStyle w:val="Hyperlink"/>
            <w:rFonts w:ascii="Segoe UI Symbol" w:hAnsi="Segoe UI Symbol" w:cs="Segoe UI Symbol"/>
          </w:rPr>
          <w:t>https://github.com/grebenshch/risk-dashboard</w:t>
        </w:r>
      </w:hyperlink>
    </w:p>
    <w:p w:rsidR="00395EE0" w:rsidRPr="00CF4AF1" w:rsidRDefault="00AA2A0D">
      <w:pPr>
        <w:spacing w:after="160"/>
        <w:rPr>
          <w:b/>
          <w:sz w:val="28"/>
          <w:szCs w:val="28"/>
        </w:rPr>
      </w:pPr>
      <w:r w:rsidRPr="00CF4AF1">
        <w:rPr>
          <w:b/>
          <w:sz w:val="28"/>
          <w:szCs w:val="28"/>
        </w:rPr>
        <w:t>Live Dashboard URL:</w:t>
      </w:r>
    </w:p>
    <w:p w:rsidR="00CF4AF1" w:rsidRPr="00B6311B" w:rsidRDefault="00B6311B">
      <w:pPr>
        <w:pStyle w:val="Heading1"/>
        <w:spacing w:before="360" w:after="160"/>
        <w:rPr>
          <w:rStyle w:val="Hyperlink"/>
          <w:sz w:val="22"/>
          <w:szCs w:val="22"/>
        </w:rPr>
      </w:pP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HYPERLINK "https://github.com/grebenshch/risk-dashboard"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 w:rsidR="00CF4AF1" w:rsidRPr="00B6311B">
        <w:rPr>
          <w:rStyle w:val="Hyperlink"/>
          <w:sz w:val="22"/>
          <w:szCs w:val="22"/>
        </w:rPr>
        <w:t>https://risk-dashboard-q894.onrender.c</w:t>
      </w:r>
      <w:r w:rsidR="00CF4AF1" w:rsidRPr="00B6311B">
        <w:rPr>
          <w:rStyle w:val="Hyperlink"/>
          <w:sz w:val="22"/>
          <w:szCs w:val="22"/>
        </w:rPr>
        <w:t>o</w:t>
      </w:r>
      <w:r w:rsidR="00CF4AF1" w:rsidRPr="00B6311B">
        <w:rPr>
          <w:rStyle w:val="Hyperlink"/>
          <w:sz w:val="22"/>
          <w:szCs w:val="22"/>
        </w:rPr>
        <w:t>m/</w:t>
      </w:r>
    </w:p>
    <w:p w:rsidR="00395EE0" w:rsidRDefault="00B6311B">
      <w:pPr>
        <w:pStyle w:val="Heading1"/>
        <w:spacing w:before="360" w:after="160"/>
      </w:pPr>
      <w:r>
        <w:rPr>
          <w:sz w:val="22"/>
          <w:szCs w:val="22"/>
        </w:rPr>
        <w:fldChar w:fldCharType="end"/>
      </w:r>
      <w:r w:rsidR="00AA2A0D">
        <w:t>7. Results &amp; Key Visuals</w:t>
      </w:r>
    </w:p>
    <w:p w:rsidR="00395EE0" w:rsidRDefault="00AA2A0D">
      <w:pPr>
        <w:pStyle w:val="Heading2"/>
        <w:spacing w:before="240" w:after="120"/>
      </w:pPr>
      <w:r>
        <w:t>7.1 All Stocks — Normalized Price Comparison</w:t>
      </w:r>
    </w:p>
    <w:p w:rsidR="00395EE0" w:rsidRDefault="00AA2A0D">
      <w:pPr>
        <w:spacing w:after="160"/>
      </w:pPr>
      <w:r>
        <w:t xml:space="preserve">The chart below (generated directly from the project's processed price data) compares the growth of all 15 stocks on a common base of 100, </w:t>
      </w:r>
      <w:proofErr w:type="spellStart"/>
      <w:r>
        <w:t>colour</w:t>
      </w:r>
      <w:proofErr w:type="spellEnd"/>
      <w:r>
        <w:t>-coded by sector.</w:t>
      </w:r>
    </w:p>
    <w:p w:rsidR="00395EE0" w:rsidRDefault="00AA2A0D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334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EE0" w:rsidRDefault="00AA2A0D">
      <w:pPr>
        <w:spacing w:after="240"/>
        <w:jc w:val="center"/>
      </w:pPr>
      <w:r>
        <w:rPr>
          <w:i/>
          <w:iCs/>
          <w:color w:val="6C757D"/>
          <w:sz w:val="18"/>
          <w:szCs w:val="18"/>
        </w:rPr>
        <w:t>Figure 1 — Normalized price performance, all 15 stocks (2022–2025)</w:t>
      </w:r>
    </w:p>
    <w:p w:rsidR="00395EE0" w:rsidRDefault="00AA2A0D">
      <w:pPr>
        <w:pStyle w:val="Heading2"/>
        <w:spacing w:before="240" w:after="120"/>
      </w:pPr>
      <w:r>
        <w:lastRenderedPageBreak/>
        <w:t>7.2 Value-at-Risk Comparison (95% Confidence)</w:t>
      </w:r>
    </w:p>
    <w:p w:rsidR="00395EE0" w:rsidRDefault="00AA2A0D">
      <w:pPr>
        <w:spacing w:after="160"/>
      </w:pPr>
      <w:r>
        <w:t xml:space="preserve">Historical, Parametric, and Monte Carlo </w:t>
      </w:r>
      <w:proofErr w:type="spellStart"/>
      <w:r>
        <w:t>VaR</w:t>
      </w:r>
      <w:proofErr w:type="spellEnd"/>
      <w:r>
        <w:t xml:space="preserve"> estimates for each stock, computed directly from the project's </w:t>
      </w:r>
      <w:proofErr w:type="spellStart"/>
      <w:r>
        <w:t>VaR</w:t>
      </w:r>
      <w:proofErr w:type="spellEnd"/>
      <w:r>
        <w:t xml:space="preserve"> result files.</w:t>
      </w:r>
    </w:p>
    <w:p w:rsidR="00395EE0" w:rsidRDefault="00AA2A0D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3340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EE0" w:rsidRDefault="00AA2A0D">
      <w:pPr>
        <w:spacing w:after="240"/>
        <w:jc w:val="center"/>
      </w:pPr>
      <w:r>
        <w:rPr>
          <w:i/>
          <w:iCs/>
          <w:color w:val="6C757D"/>
          <w:sz w:val="18"/>
          <w:szCs w:val="18"/>
        </w:rPr>
        <w:t xml:space="preserve">Figure 2 — </w:t>
      </w:r>
      <w:proofErr w:type="spellStart"/>
      <w:r>
        <w:rPr>
          <w:i/>
          <w:iCs/>
          <w:color w:val="6C757D"/>
          <w:sz w:val="18"/>
          <w:szCs w:val="18"/>
        </w:rPr>
        <w:t>VaR</w:t>
      </w:r>
      <w:proofErr w:type="spellEnd"/>
      <w:r>
        <w:rPr>
          <w:i/>
          <w:iCs/>
          <w:color w:val="6C757D"/>
          <w:sz w:val="18"/>
          <w:szCs w:val="18"/>
        </w:rPr>
        <w:t xml:space="preserve"> 95% across three methods, all stocks</w:t>
      </w:r>
    </w:p>
    <w:p w:rsidR="00395EE0" w:rsidRDefault="00AA2A0D">
      <w:pPr>
        <w:pStyle w:val="Heading2"/>
        <w:spacing w:before="240" w:after="120"/>
      </w:pPr>
      <w:r>
        <w:t>7.3 Sector Risk/Return Clustering</w:t>
      </w:r>
    </w:p>
    <w:p w:rsidR="00395EE0" w:rsidRDefault="00AA2A0D">
      <w:pPr>
        <w:spacing w:after="160"/>
      </w:pPr>
      <w:r>
        <w:t>Stocks grouped into three risk profiles based on volatility and Sharpe Ratio.</w:t>
      </w:r>
    </w:p>
    <w:p w:rsidR="00395EE0" w:rsidRDefault="00AA2A0D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4762500" cy="2952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EE0" w:rsidRDefault="00AA2A0D">
      <w:pPr>
        <w:spacing w:after="240"/>
        <w:jc w:val="center"/>
      </w:pPr>
      <w:r>
        <w:rPr>
          <w:i/>
          <w:iCs/>
          <w:color w:val="6C757D"/>
          <w:sz w:val="18"/>
          <w:szCs w:val="18"/>
        </w:rPr>
        <w:t>Figure 3 — Risk/return clustering across the portfolio</w:t>
      </w:r>
    </w:p>
    <w:p w:rsidR="00E36886" w:rsidRDefault="00E36886">
      <w:pPr>
        <w:pStyle w:val="Heading2"/>
        <w:spacing w:before="240" w:after="120"/>
      </w:pPr>
    </w:p>
    <w:p w:rsidR="00E36886" w:rsidRDefault="00E36886">
      <w:pPr>
        <w:pStyle w:val="Heading2"/>
        <w:spacing w:before="240" w:after="120"/>
      </w:pPr>
    </w:p>
    <w:p w:rsidR="00E36886" w:rsidRDefault="00E36886">
      <w:pPr>
        <w:pStyle w:val="Heading2"/>
        <w:spacing w:before="240" w:after="120"/>
      </w:pPr>
    </w:p>
    <w:p w:rsidR="00395EE0" w:rsidRDefault="00AA2A0D">
      <w:pPr>
        <w:pStyle w:val="Heading2"/>
        <w:spacing w:before="240" w:after="120"/>
      </w:pPr>
      <w:r>
        <w:lastRenderedPageBreak/>
        <w:t>7.4 Full KPI Table (All Stocks)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395EE0">
        <w:tc>
          <w:tcPr>
            <w:tcW w:w="1500" w:type="dxa"/>
            <w:shd w:val="clear" w:color="auto" w:fill="1A2B4A"/>
          </w:tcPr>
          <w:p w:rsidR="00395EE0" w:rsidRDefault="00AA2A0D">
            <w:r>
              <w:rPr>
                <w:b/>
                <w:bCs/>
                <w:color w:val="FFFFFF"/>
                <w:sz w:val="20"/>
                <w:szCs w:val="20"/>
              </w:rPr>
              <w:t>Ticker</w:t>
            </w:r>
          </w:p>
        </w:tc>
        <w:tc>
          <w:tcPr>
            <w:tcW w:w="1500" w:type="dxa"/>
            <w:shd w:val="clear" w:color="auto" w:fill="1A2B4A"/>
          </w:tcPr>
          <w:p w:rsidR="00395EE0" w:rsidRDefault="00AA2A0D">
            <w:r>
              <w:rPr>
                <w:b/>
                <w:bCs/>
                <w:color w:val="FFFFFF"/>
                <w:sz w:val="20"/>
                <w:szCs w:val="20"/>
              </w:rPr>
              <w:t>Sharpe</w:t>
            </w:r>
          </w:p>
        </w:tc>
        <w:tc>
          <w:tcPr>
            <w:tcW w:w="1500" w:type="dxa"/>
            <w:shd w:val="clear" w:color="auto" w:fill="1A2B4A"/>
          </w:tcPr>
          <w:p w:rsidR="00395EE0" w:rsidRDefault="00AA2A0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MaxDD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(%)</w:t>
            </w:r>
          </w:p>
        </w:tc>
        <w:tc>
          <w:tcPr>
            <w:tcW w:w="1500" w:type="dxa"/>
            <w:shd w:val="clear" w:color="auto" w:fill="1A2B4A"/>
          </w:tcPr>
          <w:p w:rsidR="00395EE0" w:rsidRDefault="00AA2A0D">
            <w:r>
              <w:rPr>
                <w:b/>
                <w:bCs/>
                <w:color w:val="FFFFFF"/>
                <w:sz w:val="20"/>
                <w:szCs w:val="20"/>
              </w:rPr>
              <w:t>Beta</w:t>
            </w:r>
          </w:p>
        </w:tc>
        <w:tc>
          <w:tcPr>
            <w:tcW w:w="1500" w:type="dxa"/>
            <w:shd w:val="clear" w:color="auto" w:fill="1A2B4A"/>
          </w:tcPr>
          <w:p w:rsidR="00395EE0" w:rsidRDefault="00AA2A0D">
            <w:r>
              <w:rPr>
                <w:b/>
                <w:bCs/>
                <w:color w:val="FFFFFF"/>
                <w:sz w:val="20"/>
                <w:szCs w:val="20"/>
              </w:rPr>
              <w:t>Vol (%)</w:t>
            </w:r>
          </w:p>
        </w:tc>
        <w:tc>
          <w:tcPr>
            <w:tcW w:w="1500" w:type="dxa"/>
            <w:shd w:val="clear" w:color="auto" w:fill="1A2B4A"/>
          </w:tcPr>
          <w:p w:rsidR="00395EE0" w:rsidRDefault="00AA2A0D">
            <w:r>
              <w:rPr>
                <w:b/>
                <w:bCs/>
                <w:color w:val="FFFFFF"/>
                <w:sz w:val="20"/>
                <w:szCs w:val="20"/>
              </w:rPr>
              <w:t>CAGR (%)</w:t>
            </w:r>
          </w:p>
        </w:tc>
      </w:tr>
      <w:tr w:rsidR="00395EE0"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AAPL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-30.91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1.21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27.05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11.88</w:t>
            </w:r>
          </w:p>
        </w:tc>
      </w:tr>
      <w:tr w:rsidR="00395EE0"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CVX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-24.95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0.52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25.80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10.95</w:t>
            </w:r>
          </w:p>
        </w:tc>
      </w:tr>
      <w:tr w:rsidR="00395EE0"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EL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-1.30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-82.39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1.25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43.18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-40.47</w:t>
            </w:r>
          </w:p>
        </w:tc>
      </w:tr>
      <w:tr w:rsidR="00395EE0"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GS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0.42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-30.51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26.43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16.32</w:t>
            </w:r>
          </w:p>
        </w:tc>
      </w:tr>
      <w:tr w:rsidR="00395EE0"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HLI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0.55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-36.57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0.90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27.31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20.93</w:t>
            </w:r>
          </w:p>
        </w:tc>
      </w:tr>
      <w:tr w:rsidR="00395EE0"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JNJ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-0.42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-18.41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16.34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-2.76</w:t>
            </w:r>
          </w:p>
        </w:tc>
      </w:tr>
      <w:tr w:rsidR="00395EE0"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JPM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0.48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-37.93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0.86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24.92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17.34</w:t>
            </w:r>
          </w:p>
        </w:tc>
      </w:tr>
      <w:tr w:rsidR="00395EE0"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KO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-17.27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0.39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15.66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4.76</w:t>
            </w:r>
          </w:p>
        </w:tc>
      </w:tr>
      <w:tr w:rsidR="00395EE0"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MCD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-17.23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0.46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17.36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4.97</w:t>
            </w:r>
          </w:p>
        </w:tc>
      </w:tr>
      <w:tr w:rsidR="00395EE0"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META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-73.74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1.73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49.45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20.28</w:t>
            </w:r>
          </w:p>
        </w:tc>
      </w:tr>
      <w:tr w:rsidR="00395EE0"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MRK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0.37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-27.08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20.08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12.20</w:t>
            </w:r>
          </w:p>
        </w:tc>
      </w:tr>
      <w:tr w:rsidR="00395EE0"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PLTR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0.64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-67.62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2.19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67.92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60.11</w:t>
            </w:r>
          </w:p>
        </w:tc>
      </w:tr>
      <w:tr w:rsidR="00395EE0"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ULTA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-43.48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0.89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33.38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1.73</w:t>
            </w:r>
          </w:p>
        </w:tc>
      </w:tr>
      <w:tr w:rsidR="00395EE0"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UNH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-22.05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0.44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24.45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1.70</w:t>
            </w:r>
          </w:p>
        </w:tc>
      </w:tr>
      <w:tr w:rsidR="00395EE0"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XOM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0.63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-20.51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0.47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27.24</w:t>
            </w:r>
          </w:p>
        </w:tc>
        <w:tc>
          <w:tcPr>
            <w:tcW w:w="1500" w:type="dxa"/>
          </w:tcPr>
          <w:p w:rsidR="00395EE0" w:rsidRDefault="00AA2A0D">
            <w:r>
              <w:rPr>
                <w:color w:val="000000"/>
                <w:sz w:val="20"/>
                <w:szCs w:val="20"/>
              </w:rPr>
              <w:t>23.57</w:t>
            </w:r>
          </w:p>
        </w:tc>
      </w:tr>
    </w:tbl>
    <w:p w:rsidR="00395EE0" w:rsidRDefault="00395EE0">
      <w:pPr>
        <w:spacing w:before="200" w:after="200"/>
      </w:pPr>
    </w:p>
    <w:p w:rsidR="00395EE0" w:rsidRDefault="00AA2A0D">
      <w:pPr>
        <w:pStyle w:val="Heading1"/>
        <w:spacing w:before="360" w:after="160"/>
      </w:pPr>
      <w:r>
        <w:t>8. Live Dashboard — Screenshots</w:t>
      </w:r>
    </w:p>
    <w:p w:rsidR="00395EE0" w:rsidRDefault="00AA2A0D">
      <w:pPr>
        <w:spacing w:after="160"/>
      </w:pPr>
      <w:r>
        <w:t>The following screenshots should be added from the deployed application to document the final delivered interface.</w:t>
      </w:r>
    </w:p>
    <w:p w:rsidR="00395EE0" w:rsidRDefault="00B6311B">
      <w:pPr>
        <w:spacing w:before="120" w:after="240"/>
      </w:pPr>
      <w:r>
        <w:rPr>
          <w:b/>
          <w:bCs/>
          <w:i/>
          <w:iCs/>
          <w:noProof/>
          <w:color w:val="C00000"/>
        </w:rPr>
        <w:drawing>
          <wp:inline distT="0" distB="0" distL="0" distR="0" wp14:anchorId="08B213E5" wp14:editId="32B1E586">
            <wp:extent cx="6428509" cy="3276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D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030" cy="328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11B" w:rsidRDefault="00B6311B">
      <w:pPr>
        <w:spacing w:before="120" w:after="240"/>
      </w:pPr>
      <w:r w:rsidRPr="00B6311B">
        <w:lastRenderedPageBreak/>
        <w:drawing>
          <wp:inline distT="0" distB="0" distL="0" distR="0" wp14:anchorId="38D55BF8" wp14:editId="33EA8DBC">
            <wp:extent cx="6532187" cy="231322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90335" cy="233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11B" w:rsidRDefault="00B6311B">
      <w:pPr>
        <w:spacing w:before="120" w:after="240"/>
      </w:pPr>
    </w:p>
    <w:p w:rsidR="00395EE0" w:rsidRDefault="00AA2A0D">
      <w:pPr>
        <w:pStyle w:val="Heading1"/>
        <w:spacing w:before="360" w:after="160"/>
      </w:pPr>
      <w:r>
        <w:t>9. Power BI Dashboard</w:t>
      </w:r>
    </w:p>
    <w:p w:rsidR="00395EE0" w:rsidRDefault="00AA2A0D">
      <w:pPr>
        <w:spacing w:after="160"/>
      </w:pPr>
      <w:r>
        <w:t>A complementary Power BI report (reports/</w:t>
      </w:r>
      <w:proofErr w:type="spellStart"/>
      <w:r>
        <w:t>Risk_AQM.pbix</w:t>
      </w:r>
      <w:proofErr w:type="spellEnd"/>
      <w:r>
        <w:t xml:space="preserve">) was built from the same processed dataset (reports/powerbi_data.xlsx), providing an alternative, business-facing view of the same </w:t>
      </w:r>
      <w:proofErr w:type="spellStart"/>
      <w:r>
        <w:t>VaR</w:t>
      </w:r>
      <w:proofErr w:type="spellEnd"/>
      <w:r>
        <w:t>/KPI analytics for stakeholders who prefer a traditional BI interface over a coded web application.</w:t>
      </w:r>
    </w:p>
    <w:p w:rsidR="00395EE0" w:rsidRPr="00B6311B" w:rsidRDefault="00B6311B">
      <w:pPr>
        <w:spacing w:after="160"/>
        <w:rPr>
          <w:b/>
          <w:sz w:val="28"/>
          <w:szCs w:val="28"/>
        </w:rPr>
      </w:pPr>
      <w:r w:rsidRPr="00B6311B">
        <w:rPr>
          <w:b/>
          <w:sz w:val="28"/>
          <w:szCs w:val="28"/>
        </w:rPr>
        <w:t>Power BI Public Link</w:t>
      </w:r>
      <w:r w:rsidR="00AA2A0D" w:rsidRPr="00B6311B">
        <w:rPr>
          <w:b/>
          <w:sz w:val="28"/>
          <w:szCs w:val="28"/>
        </w:rPr>
        <w:t>:</w:t>
      </w:r>
    </w:p>
    <w:p w:rsidR="00B6311B" w:rsidRDefault="00B6311B">
      <w:pPr>
        <w:pStyle w:val="Heading1"/>
        <w:spacing w:before="360" w:after="160"/>
        <w:rPr>
          <w:b/>
          <w:bCs/>
          <w:i/>
          <w:iCs/>
          <w:color w:val="C00000"/>
          <w:sz w:val="22"/>
          <w:szCs w:val="22"/>
        </w:rPr>
      </w:pPr>
      <w:hyperlink r:id="rId11" w:history="1">
        <w:r w:rsidRPr="00D61900">
          <w:rPr>
            <w:rStyle w:val="Hyperlink"/>
            <w:b/>
            <w:bCs/>
            <w:i/>
            <w:iCs/>
            <w:sz w:val="22"/>
            <w:szCs w:val="22"/>
          </w:rPr>
          <w:t>https://app.powerbi.com/groups/me/reports/eb97e433-a66f-45c2-acf2-7ac1b30143ac/389f8e0c2816fcd49eec?ex</w:t>
        </w:r>
        <w:r w:rsidRPr="00D61900">
          <w:rPr>
            <w:rStyle w:val="Hyperlink"/>
            <w:b/>
            <w:bCs/>
            <w:i/>
            <w:iCs/>
            <w:sz w:val="22"/>
            <w:szCs w:val="22"/>
          </w:rPr>
          <w:t>p</w:t>
        </w:r>
        <w:r w:rsidRPr="00D61900">
          <w:rPr>
            <w:rStyle w:val="Hyperlink"/>
            <w:b/>
            <w:bCs/>
            <w:i/>
            <w:iCs/>
            <w:sz w:val="22"/>
            <w:szCs w:val="22"/>
          </w:rPr>
          <w:t>erience=power-bi</w:t>
        </w:r>
      </w:hyperlink>
    </w:p>
    <w:p w:rsidR="00B6311B" w:rsidRDefault="00B6311B">
      <w:pPr>
        <w:pStyle w:val="Heading1"/>
        <w:spacing w:before="360" w:after="160"/>
        <w:rPr>
          <w:b/>
          <w:bCs/>
          <w:i/>
          <w:iCs/>
          <w:color w:val="C00000"/>
          <w:sz w:val="22"/>
          <w:szCs w:val="22"/>
        </w:rPr>
      </w:pPr>
    </w:p>
    <w:p w:rsidR="00395EE0" w:rsidRDefault="00AA2A0D">
      <w:pPr>
        <w:pStyle w:val="Heading1"/>
        <w:spacing w:before="360" w:after="160"/>
      </w:pPr>
      <w:r>
        <w:t>10. Challenges &amp; Solutions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Static vs. live data: the original coursework dashboard read only pre-computed historical CSVs. Live intraday price fetching (Step 6 logic) existed but was not wired into the deployed app — this was integrated during the deployment phase.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 xml:space="preserve">Production hosting: Dash's built-in development server only runs locally; solved by exposing the Flask server object and running it via </w:t>
      </w:r>
      <w:proofErr w:type="spellStart"/>
      <w:r>
        <w:t>gunicorn</w:t>
      </w:r>
      <w:proofErr w:type="spellEnd"/>
      <w:r>
        <w:t xml:space="preserve"> on Render, with host/port correctly bound for a cloud environment.</w:t>
      </w:r>
    </w:p>
    <w:p w:rsidR="00395EE0" w:rsidRDefault="00AA2A0D">
      <w:pPr>
        <w:pStyle w:val="ListParagraph"/>
        <w:numPr>
          <w:ilvl w:val="0"/>
          <w:numId w:val="2"/>
        </w:numPr>
        <w:spacing w:after="80"/>
      </w:pPr>
      <w:r>
        <w:t>Single-stock vs. portfolio-wide view: initial dashboard only allowed viewing one stock at a time; an all-stocks/sectors overview (chart + KPI table) was added to allow full-portfolio comparison.</w:t>
      </w:r>
    </w:p>
    <w:p w:rsidR="00E36886" w:rsidRDefault="00E36886">
      <w:pPr>
        <w:pStyle w:val="Heading1"/>
        <w:spacing w:before="360" w:after="160"/>
      </w:pPr>
    </w:p>
    <w:p w:rsidR="00E36886" w:rsidRDefault="00E36886">
      <w:pPr>
        <w:pStyle w:val="Heading1"/>
        <w:spacing w:before="360" w:after="160"/>
      </w:pPr>
    </w:p>
    <w:p w:rsidR="00E36886" w:rsidRDefault="00E36886">
      <w:pPr>
        <w:pStyle w:val="Heading1"/>
        <w:spacing w:before="360" w:after="160"/>
      </w:pPr>
    </w:p>
    <w:p w:rsidR="00395EE0" w:rsidRDefault="00AA2A0D">
      <w:pPr>
        <w:pStyle w:val="Heading1"/>
        <w:spacing w:before="360" w:after="160"/>
      </w:pPr>
      <w:r>
        <w:lastRenderedPageBreak/>
        <w:t>11. Conclusion</w:t>
      </w:r>
    </w:p>
    <w:p w:rsidR="00395EE0" w:rsidRDefault="00AA2A0D">
      <w:pPr>
        <w:spacing w:after="160"/>
      </w:pPr>
      <w:r>
        <w:t xml:space="preserve">This project demonstrates a complete quantitative risk-analytics workflow — from raw market data through </w:t>
      </w:r>
      <w:proofErr w:type="spellStart"/>
      <w:r>
        <w:t>VaR</w:t>
      </w:r>
      <w:proofErr w:type="spellEnd"/>
      <w:r>
        <w:t xml:space="preserve"> modelling, KPI analysis, and clustering, to two independent, stakeholder-ready presentation layers (an interactive live web dashboard and a Power BI report). The web dashboard is publicly deployed and includes a genuine real-time price component, making the analytics accessible from any device without local software installation.</w:t>
      </w:r>
    </w:p>
    <w:p w:rsidR="0022188D" w:rsidRDefault="0022188D">
      <w:pPr>
        <w:spacing w:after="160"/>
      </w:pPr>
    </w:p>
    <w:p w:rsidR="0022188D" w:rsidRPr="0022188D" w:rsidRDefault="0022188D" w:rsidP="0022188D">
      <w:pPr>
        <w:spacing w:after="160"/>
        <w:rPr>
          <w:b/>
          <w:sz w:val="26"/>
          <w:szCs w:val="26"/>
        </w:rPr>
      </w:pPr>
      <w:r w:rsidRPr="0022188D">
        <w:rPr>
          <w:b/>
          <w:sz w:val="26"/>
          <w:szCs w:val="26"/>
        </w:rPr>
        <w:t xml:space="preserve">Team Contributions </w:t>
      </w:r>
      <w:r w:rsidRPr="0022188D">
        <w:rPr>
          <w:b/>
          <w:sz w:val="26"/>
          <w:szCs w:val="26"/>
        </w:rPr>
        <w:t xml:space="preserve"> </w:t>
      </w:r>
    </w:p>
    <w:p w:rsidR="0022188D" w:rsidRDefault="0022188D" w:rsidP="0022188D">
      <w:pPr>
        <w:spacing w:after="160"/>
      </w:pPr>
      <w:r>
        <w:t>Each team member brought unique skills:</w:t>
      </w:r>
    </w:p>
    <w:p w:rsidR="0022188D" w:rsidRDefault="0022188D" w:rsidP="0022188D">
      <w:pPr>
        <w:spacing w:after="160"/>
      </w:pPr>
      <w:r>
        <w:t xml:space="preserve"> </w:t>
      </w:r>
      <w:proofErr w:type="spellStart"/>
      <w:r w:rsidRPr="0022188D">
        <w:rPr>
          <w:b/>
          <w:sz w:val="24"/>
          <w:szCs w:val="24"/>
        </w:rPr>
        <w:t>Ruslan</w:t>
      </w:r>
      <w:proofErr w:type="spellEnd"/>
      <w:r>
        <w:t xml:space="preserve"> — Lead Data Scientist: </w:t>
      </w:r>
    </w:p>
    <w:p w:rsidR="0022188D" w:rsidRDefault="0022188D" w:rsidP="0022188D">
      <w:pPr>
        <w:spacing w:after="160"/>
      </w:pPr>
      <w:r>
        <w:t xml:space="preserve">• Designed and built all 3 </w:t>
      </w:r>
      <w:proofErr w:type="spellStart"/>
      <w:r>
        <w:t>VaR</w:t>
      </w:r>
      <w:proofErr w:type="spellEnd"/>
      <w:r>
        <w:t xml:space="preserve"> models (Historical, Parametric, Monte Carlo) </w:t>
      </w:r>
    </w:p>
    <w:p w:rsidR="0022188D" w:rsidRDefault="0022188D" w:rsidP="0022188D">
      <w:pPr>
        <w:spacing w:after="160"/>
      </w:pPr>
      <w:r>
        <w:t xml:space="preserve">• </w:t>
      </w:r>
      <w:proofErr w:type="spellStart"/>
      <w:r>
        <w:t>Backtesting</w:t>
      </w:r>
      <w:proofErr w:type="spellEnd"/>
      <w:r>
        <w:t xml:space="preserve"> engine + </w:t>
      </w:r>
      <w:proofErr w:type="spellStart"/>
      <w:r>
        <w:t>Kupiec</w:t>
      </w:r>
      <w:proofErr w:type="spellEnd"/>
      <w:r>
        <w:t xml:space="preserve"> test </w:t>
      </w:r>
    </w:p>
    <w:p w:rsidR="0022188D" w:rsidRDefault="0022188D" w:rsidP="0022188D">
      <w:pPr>
        <w:spacing w:after="160"/>
      </w:pPr>
      <w:r>
        <w:t xml:space="preserve">• KPI computation engine </w:t>
      </w:r>
    </w:p>
    <w:p w:rsidR="0022188D" w:rsidRDefault="0022188D" w:rsidP="0022188D">
      <w:pPr>
        <w:spacing w:after="160"/>
      </w:pPr>
      <w:r>
        <w:t xml:space="preserve">• K-Means clustering model </w:t>
      </w:r>
    </w:p>
    <w:p w:rsidR="0022188D" w:rsidRDefault="0022188D" w:rsidP="0022188D">
      <w:pPr>
        <w:spacing w:after="160"/>
      </w:pPr>
      <w:r>
        <w:t xml:space="preserve">• Full data pipeline (collection → cleaning → modelling → storage) </w:t>
      </w:r>
    </w:p>
    <w:p w:rsidR="0022188D" w:rsidRDefault="0022188D" w:rsidP="0022188D">
      <w:pPr>
        <w:spacing w:after="160"/>
      </w:pPr>
      <w:r>
        <w:t>• Power BI data export</w:t>
      </w:r>
    </w:p>
    <w:p w:rsidR="0022188D" w:rsidRDefault="0022188D" w:rsidP="0022188D">
      <w:pPr>
        <w:spacing w:after="160"/>
      </w:pPr>
    </w:p>
    <w:p w:rsidR="0022188D" w:rsidRDefault="0022188D" w:rsidP="0022188D">
      <w:pPr>
        <w:spacing w:after="160"/>
      </w:pPr>
      <w:r>
        <w:t xml:space="preserve"> </w:t>
      </w:r>
      <w:r w:rsidRPr="0022188D">
        <w:rPr>
          <w:b/>
          <w:sz w:val="24"/>
          <w:szCs w:val="24"/>
        </w:rPr>
        <w:t>Alex</w:t>
      </w:r>
      <w:r>
        <w:t xml:space="preserve"> — Tech Lead &amp; Developer: </w:t>
      </w:r>
    </w:p>
    <w:p w:rsidR="0022188D" w:rsidRDefault="0022188D" w:rsidP="0022188D">
      <w:pPr>
        <w:spacing w:after="160"/>
      </w:pPr>
      <w:r>
        <w:t xml:space="preserve">• GitHub repository setup &amp; management </w:t>
      </w:r>
    </w:p>
    <w:p w:rsidR="0022188D" w:rsidRDefault="0022188D" w:rsidP="0022188D">
      <w:pPr>
        <w:spacing w:after="160"/>
      </w:pPr>
      <w:r>
        <w:t xml:space="preserve">• Live data feed (real-time prices) </w:t>
      </w:r>
    </w:p>
    <w:p w:rsidR="0022188D" w:rsidRDefault="0022188D" w:rsidP="0022188D">
      <w:pPr>
        <w:spacing w:after="160"/>
      </w:pPr>
      <w:r>
        <w:t xml:space="preserve">• </w:t>
      </w:r>
      <w:proofErr w:type="spellStart"/>
      <w:r>
        <w:t>Plotly</w:t>
      </w:r>
      <w:proofErr w:type="spellEnd"/>
      <w:r>
        <w:t xml:space="preserve"> Dash dashboard frontend </w:t>
      </w:r>
    </w:p>
    <w:p w:rsidR="0022188D" w:rsidRDefault="0022188D" w:rsidP="0022188D">
      <w:pPr>
        <w:spacing w:after="160"/>
      </w:pPr>
      <w:r>
        <w:t xml:space="preserve">• Cloud deployment on Render.com </w:t>
      </w:r>
    </w:p>
    <w:p w:rsidR="0022188D" w:rsidRDefault="0022188D" w:rsidP="0022188D">
      <w:pPr>
        <w:spacing w:after="160"/>
      </w:pPr>
      <w:r>
        <w:t>• Code review and documentation</w:t>
      </w:r>
    </w:p>
    <w:p w:rsidR="0022188D" w:rsidRDefault="0022188D" w:rsidP="0022188D">
      <w:pPr>
        <w:spacing w:after="160"/>
      </w:pPr>
    </w:p>
    <w:p w:rsidR="0022188D" w:rsidRDefault="0022188D" w:rsidP="0022188D">
      <w:pPr>
        <w:spacing w:after="160"/>
        <w:rPr>
          <w:b/>
          <w:sz w:val="24"/>
          <w:szCs w:val="24"/>
        </w:rPr>
      </w:pPr>
      <w:r>
        <w:t xml:space="preserve"> </w:t>
      </w:r>
      <w:proofErr w:type="spellStart"/>
      <w:r w:rsidRPr="0022188D">
        <w:rPr>
          <w:b/>
          <w:sz w:val="24"/>
          <w:szCs w:val="24"/>
        </w:rPr>
        <w:t>Aishwarya</w:t>
      </w:r>
      <w:proofErr w:type="spellEnd"/>
    </w:p>
    <w:p w:rsidR="0022188D" w:rsidRDefault="0022188D" w:rsidP="0022188D">
      <w:pPr>
        <w:spacing w:after="160"/>
      </w:pPr>
      <w:r>
        <w:t xml:space="preserve"> </w:t>
      </w:r>
      <w:r>
        <w:t>UX/UI &amp; Communication:</w:t>
      </w:r>
    </w:p>
    <w:p w:rsidR="0022188D" w:rsidRDefault="0022188D" w:rsidP="0022188D">
      <w:pPr>
        <w:spacing w:after="160"/>
      </w:pPr>
      <w:r>
        <w:t xml:space="preserve">• Dashboard wireframe and design </w:t>
      </w:r>
    </w:p>
    <w:p w:rsidR="0022188D" w:rsidRDefault="0022188D" w:rsidP="0022188D">
      <w:pPr>
        <w:spacing w:after="160"/>
      </w:pPr>
      <w:r>
        <w:t>• Presentation slides design</w:t>
      </w:r>
    </w:p>
    <w:p w:rsidR="0022188D" w:rsidRDefault="0022188D" w:rsidP="0022188D">
      <w:pPr>
        <w:spacing w:after="160"/>
      </w:pPr>
      <w:r>
        <w:t xml:space="preserve">• KPI interpretation &amp; communication </w:t>
      </w:r>
    </w:p>
    <w:p w:rsidR="0022188D" w:rsidRDefault="0022188D" w:rsidP="0022188D">
      <w:pPr>
        <w:spacing w:after="160"/>
      </w:pPr>
      <w:r>
        <w:t xml:space="preserve">• Report introduction and results sections </w:t>
      </w:r>
    </w:p>
    <w:p w:rsidR="0022188D" w:rsidRDefault="0022188D" w:rsidP="0022188D">
      <w:pPr>
        <w:spacing w:after="160"/>
      </w:pPr>
      <w:r>
        <w:t xml:space="preserve">• User experience testing </w:t>
      </w:r>
    </w:p>
    <w:p w:rsidR="0022188D" w:rsidRDefault="0022188D" w:rsidP="0022188D">
      <w:pPr>
        <w:spacing w:after="160"/>
        <w:rPr>
          <w:b/>
          <w:sz w:val="24"/>
          <w:szCs w:val="24"/>
        </w:rPr>
      </w:pPr>
    </w:p>
    <w:p w:rsidR="0022188D" w:rsidRDefault="0022188D" w:rsidP="0022188D">
      <w:pPr>
        <w:spacing w:after="160"/>
        <w:rPr>
          <w:b/>
          <w:sz w:val="24"/>
          <w:szCs w:val="24"/>
        </w:rPr>
      </w:pPr>
    </w:p>
    <w:p w:rsidR="0022188D" w:rsidRDefault="0022188D" w:rsidP="0022188D">
      <w:pPr>
        <w:spacing w:after="160"/>
      </w:pPr>
      <w:proofErr w:type="spellStart"/>
      <w:r w:rsidRPr="0022188D">
        <w:rPr>
          <w:b/>
          <w:sz w:val="24"/>
          <w:szCs w:val="24"/>
        </w:rPr>
        <w:lastRenderedPageBreak/>
        <w:t>Oggo</w:t>
      </w:r>
      <w:proofErr w:type="spellEnd"/>
      <w:r>
        <w:t xml:space="preserve"> — Research &amp; Documentation: </w:t>
      </w:r>
    </w:p>
    <w:p w:rsidR="0022188D" w:rsidRDefault="0022188D" w:rsidP="0022188D">
      <w:pPr>
        <w:spacing w:after="160"/>
      </w:pPr>
      <w:r>
        <w:t>• Literature review (</w:t>
      </w:r>
      <w:proofErr w:type="spellStart"/>
      <w:r>
        <w:t>VaR</w:t>
      </w:r>
      <w:proofErr w:type="spellEnd"/>
      <w:r>
        <w:t xml:space="preserve"> methodology) </w:t>
      </w:r>
    </w:p>
    <w:p w:rsidR="0022188D" w:rsidRDefault="0022188D" w:rsidP="0022188D">
      <w:pPr>
        <w:spacing w:after="160"/>
      </w:pPr>
      <w:r>
        <w:t xml:space="preserve">• Industry context (Basel III research) </w:t>
      </w:r>
    </w:p>
    <w:p w:rsidR="0022188D" w:rsidRDefault="0022188D" w:rsidP="0022188D">
      <w:pPr>
        <w:spacing w:after="160"/>
      </w:pPr>
      <w:r>
        <w:t xml:space="preserve">• Technical report writing </w:t>
      </w:r>
    </w:p>
    <w:p w:rsidR="0022188D" w:rsidRDefault="0022188D" w:rsidP="0022188D">
      <w:pPr>
        <w:spacing w:after="160"/>
      </w:pPr>
      <w:r>
        <w:t xml:space="preserve">• References and citations </w:t>
      </w:r>
    </w:p>
    <w:p w:rsidR="0022188D" w:rsidRDefault="0022188D" w:rsidP="0022188D">
      <w:pPr>
        <w:spacing w:after="160"/>
      </w:pPr>
      <w:r>
        <w:t xml:space="preserve">• Submission coordination </w:t>
      </w:r>
    </w:p>
    <w:p w:rsidR="0022188D" w:rsidRDefault="0022188D" w:rsidP="0022188D">
      <w:pPr>
        <w:spacing w:after="160"/>
      </w:pPr>
    </w:p>
    <w:p w:rsidR="0022188D" w:rsidRDefault="0022188D" w:rsidP="0022188D">
      <w:pPr>
        <w:spacing w:after="160"/>
      </w:pPr>
      <w:r w:rsidRPr="0022188D">
        <w:rPr>
          <w:b/>
          <w:sz w:val="24"/>
          <w:szCs w:val="24"/>
        </w:rPr>
        <w:t>Project Deliverables</w:t>
      </w:r>
      <w:r>
        <w:t xml:space="preserve">: </w:t>
      </w:r>
      <w:r>
        <w:rPr>
          <w:rFonts w:ascii="Segoe UI Symbol" w:hAnsi="Segoe UI Symbol" w:cs="Segoe UI Symbol"/>
        </w:rPr>
        <w:t>✅</w:t>
      </w:r>
      <w:r>
        <w:t xml:space="preserve"> Python codebase (14</w:t>
      </w:r>
      <w:bookmarkStart w:id="0" w:name="_GoBack"/>
      <w:bookmarkEnd w:id="0"/>
      <w:r>
        <w:t xml:space="preserve"> notebooks + dashboard) </w:t>
      </w:r>
      <w:r>
        <w:rPr>
          <w:rFonts w:ascii="Segoe UI Symbol" w:hAnsi="Segoe UI Symbol" w:cs="Segoe UI Symbol"/>
        </w:rPr>
        <w:t>✅</w:t>
      </w:r>
      <w:r>
        <w:t xml:space="preserve"> Live dashboard (Render.com) </w:t>
      </w:r>
      <w:r>
        <w:rPr>
          <w:rFonts w:ascii="Segoe UI Symbol" w:hAnsi="Segoe UI Symbol" w:cs="Segoe UI Symbol"/>
        </w:rPr>
        <w:t>✅</w:t>
      </w:r>
      <w:r>
        <w:t xml:space="preserve"> Power BI report (4 pages) </w:t>
      </w:r>
      <w:r>
        <w:rPr>
          <w:rFonts w:ascii="Segoe UI Symbol" w:hAnsi="Segoe UI Symbol" w:cs="Segoe UI Symbol"/>
        </w:rPr>
        <w:t>✅</w:t>
      </w:r>
      <w:r>
        <w:t xml:space="preserve"> GitHub repository (version controlled) </w:t>
      </w:r>
      <w:r>
        <w:rPr>
          <w:rFonts w:ascii="Segoe UI Symbol" w:hAnsi="Segoe UI Symbol" w:cs="Segoe UI Symbol"/>
        </w:rPr>
        <w:t>✅</w:t>
      </w:r>
      <w:r>
        <w:t xml:space="preserve"> Technical report </w:t>
      </w:r>
      <w:r>
        <w:rPr>
          <w:rFonts w:ascii="Segoe UI Symbol" w:hAnsi="Segoe UI Symbol" w:cs="Segoe UI Symbol"/>
        </w:rPr>
        <w:t>✅</w:t>
      </w:r>
      <w:r>
        <w:t xml:space="preserve"> This presentation</w:t>
      </w:r>
    </w:p>
    <w:p w:rsidR="0022188D" w:rsidRDefault="0022188D">
      <w:pPr>
        <w:spacing w:after="160"/>
      </w:pPr>
    </w:p>
    <w:p w:rsidR="00395EE0" w:rsidRDefault="00AA2A0D">
      <w:pPr>
        <w:pStyle w:val="Heading1"/>
        <w:spacing w:before="360" w:after="160"/>
      </w:pPr>
      <w:r>
        <w:t>12. Appendix — Links</w:t>
      </w:r>
    </w:p>
    <w:p w:rsidR="00395EE0" w:rsidRDefault="00AA2A0D">
      <w:pPr>
        <w:spacing w:after="160"/>
      </w:pPr>
      <w:r>
        <w:t>GitHub repository:</w:t>
      </w:r>
    </w:p>
    <w:p w:rsidR="00395EE0" w:rsidRDefault="00B6311B">
      <w:pPr>
        <w:spacing w:before="120" w:after="240"/>
      </w:pPr>
      <w:hyperlink r:id="rId12" w:history="1">
        <w:r w:rsidRPr="00B6311B">
          <w:rPr>
            <w:rStyle w:val="Hyperlink"/>
            <w:rFonts w:ascii="Segoe UI Symbol" w:hAnsi="Segoe UI Symbol" w:cs="Segoe UI Symbol"/>
          </w:rPr>
          <w:t>https://github.com/grebenshch/risk-dashboard</w:t>
        </w:r>
      </w:hyperlink>
    </w:p>
    <w:p w:rsidR="00395EE0" w:rsidRDefault="00AA2A0D">
      <w:pPr>
        <w:spacing w:after="160"/>
      </w:pPr>
      <w:r>
        <w:t>Live dashboard:</w:t>
      </w:r>
    </w:p>
    <w:p w:rsidR="00B6311B" w:rsidRPr="00B6311B" w:rsidRDefault="00B6311B" w:rsidP="00B6311B">
      <w:pPr>
        <w:pStyle w:val="Heading1"/>
        <w:spacing w:before="360" w:after="160"/>
        <w:rPr>
          <w:rStyle w:val="Hyperlink"/>
          <w:sz w:val="22"/>
          <w:szCs w:val="22"/>
        </w:rPr>
      </w:pP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HYPERLINK "https://github.com/grebenshch/risk-dashboard"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 w:rsidRPr="00B6311B">
        <w:rPr>
          <w:rStyle w:val="Hyperlink"/>
          <w:sz w:val="22"/>
          <w:szCs w:val="22"/>
        </w:rPr>
        <w:t>https://risk-dashboard-q894.onrender.com/</w:t>
      </w:r>
    </w:p>
    <w:p w:rsidR="00395EE0" w:rsidRDefault="00B6311B" w:rsidP="00B6311B">
      <w:pPr>
        <w:spacing w:after="160"/>
      </w:pPr>
      <w:r>
        <w:fldChar w:fldCharType="end"/>
      </w:r>
      <w:r w:rsidR="00AA2A0D">
        <w:t>Course Moodle page:</w:t>
      </w:r>
    </w:p>
    <w:p w:rsidR="00395EE0" w:rsidRDefault="00B6311B" w:rsidP="00B6311B">
      <w:pPr>
        <w:spacing w:before="120" w:after="240"/>
        <w:rPr>
          <w:b/>
          <w:bCs/>
          <w:i/>
          <w:iCs/>
          <w:color w:val="C00000"/>
        </w:rPr>
      </w:pPr>
      <w:hyperlink r:id="rId13" w:history="1">
        <w:r w:rsidRPr="00B6311B">
          <w:rPr>
            <w:rStyle w:val="Hyperlink"/>
            <w:b/>
            <w:bCs/>
            <w:i/>
            <w:iCs/>
          </w:rPr>
          <w:t>https://moodle.thm.de/course/view.php?id=7015</w:t>
        </w:r>
      </w:hyperlink>
    </w:p>
    <w:p w:rsidR="00392297" w:rsidRDefault="00392297" w:rsidP="00392297">
      <w:pPr>
        <w:spacing w:after="160"/>
      </w:pPr>
      <w:r>
        <w:t>Presentation</w:t>
      </w:r>
      <w:r>
        <w:t>:</w:t>
      </w:r>
    </w:p>
    <w:p w:rsidR="00392297" w:rsidRDefault="00392297" w:rsidP="00392297">
      <w:pPr>
        <w:spacing w:after="160"/>
      </w:pPr>
      <w:hyperlink r:id="rId14" w:history="1">
        <w:r w:rsidRPr="00392297">
          <w:rPr>
            <w:rStyle w:val="Hyperlink"/>
          </w:rPr>
          <w:t>https://sharayeh.com/en/public-view/8f98fe4b-8968-4631-bdbc-30c6</w:t>
        </w:r>
        <w:r w:rsidRPr="00392297">
          <w:rPr>
            <w:rStyle w:val="Hyperlink"/>
          </w:rPr>
          <w:t>c</w:t>
        </w:r>
        <w:r w:rsidRPr="00392297">
          <w:rPr>
            <w:rStyle w:val="Hyperlink"/>
          </w:rPr>
          <w:t>cd32b09</w:t>
        </w:r>
      </w:hyperlink>
    </w:p>
    <w:p w:rsidR="00392297" w:rsidRDefault="00392297" w:rsidP="00392297">
      <w:pPr>
        <w:spacing w:after="160"/>
      </w:pPr>
    </w:p>
    <w:sectPr w:rsidR="003922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66216B"/>
    <w:multiLevelType w:val="hybridMultilevel"/>
    <w:tmpl w:val="64F2F994"/>
    <w:lvl w:ilvl="0" w:tplc="4144461E">
      <w:start w:val="1"/>
      <w:numFmt w:val="bullet"/>
      <w:lvlText w:val="•"/>
      <w:lvlJc w:val="left"/>
    </w:lvl>
    <w:lvl w:ilvl="1" w:tplc="714CFB56">
      <w:numFmt w:val="decimal"/>
      <w:lvlText w:val=""/>
      <w:lvlJc w:val="left"/>
    </w:lvl>
    <w:lvl w:ilvl="2" w:tplc="DACA273E">
      <w:numFmt w:val="decimal"/>
      <w:lvlText w:val=""/>
      <w:lvlJc w:val="left"/>
    </w:lvl>
    <w:lvl w:ilvl="3" w:tplc="F5C64762">
      <w:numFmt w:val="decimal"/>
      <w:lvlText w:val=""/>
      <w:lvlJc w:val="left"/>
    </w:lvl>
    <w:lvl w:ilvl="4" w:tplc="D1FA1322">
      <w:numFmt w:val="decimal"/>
      <w:lvlText w:val=""/>
      <w:lvlJc w:val="left"/>
    </w:lvl>
    <w:lvl w:ilvl="5" w:tplc="785A9108">
      <w:numFmt w:val="decimal"/>
      <w:lvlText w:val=""/>
      <w:lvlJc w:val="left"/>
    </w:lvl>
    <w:lvl w:ilvl="6" w:tplc="693EC5A6">
      <w:numFmt w:val="decimal"/>
      <w:lvlText w:val=""/>
      <w:lvlJc w:val="left"/>
    </w:lvl>
    <w:lvl w:ilvl="7" w:tplc="25164416">
      <w:numFmt w:val="decimal"/>
      <w:lvlText w:val=""/>
      <w:lvlJc w:val="left"/>
    </w:lvl>
    <w:lvl w:ilvl="8" w:tplc="7F4ADF0C">
      <w:numFmt w:val="decimal"/>
      <w:lvlText w:val=""/>
      <w:lvlJc w:val="left"/>
    </w:lvl>
  </w:abstractNum>
  <w:abstractNum w:abstractNumId="1" w15:restartNumberingAfterBreak="0">
    <w:nsid w:val="73474DA6"/>
    <w:multiLevelType w:val="hybridMultilevel"/>
    <w:tmpl w:val="35881CB8"/>
    <w:lvl w:ilvl="0" w:tplc="FDE0068A">
      <w:start w:val="1"/>
      <w:numFmt w:val="bullet"/>
      <w:lvlText w:val="●"/>
      <w:lvlJc w:val="left"/>
      <w:pPr>
        <w:ind w:left="720" w:hanging="360"/>
      </w:pPr>
    </w:lvl>
    <w:lvl w:ilvl="1" w:tplc="2E2CADEE">
      <w:start w:val="1"/>
      <w:numFmt w:val="bullet"/>
      <w:lvlText w:val="○"/>
      <w:lvlJc w:val="left"/>
      <w:pPr>
        <w:ind w:left="1440" w:hanging="360"/>
      </w:pPr>
    </w:lvl>
    <w:lvl w:ilvl="2" w:tplc="2D94D2E0">
      <w:start w:val="1"/>
      <w:numFmt w:val="bullet"/>
      <w:lvlText w:val="■"/>
      <w:lvlJc w:val="left"/>
      <w:pPr>
        <w:ind w:left="2160" w:hanging="360"/>
      </w:pPr>
    </w:lvl>
    <w:lvl w:ilvl="3" w:tplc="81A66374">
      <w:start w:val="1"/>
      <w:numFmt w:val="bullet"/>
      <w:lvlText w:val="●"/>
      <w:lvlJc w:val="left"/>
      <w:pPr>
        <w:ind w:left="2880" w:hanging="360"/>
      </w:pPr>
    </w:lvl>
    <w:lvl w:ilvl="4" w:tplc="F8D6C0B4">
      <w:start w:val="1"/>
      <w:numFmt w:val="bullet"/>
      <w:lvlText w:val="○"/>
      <w:lvlJc w:val="left"/>
      <w:pPr>
        <w:ind w:left="3600" w:hanging="360"/>
      </w:pPr>
    </w:lvl>
    <w:lvl w:ilvl="5" w:tplc="2982B666">
      <w:start w:val="1"/>
      <w:numFmt w:val="bullet"/>
      <w:lvlText w:val="■"/>
      <w:lvlJc w:val="left"/>
      <w:pPr>
        <w:ind w:left="4320" w:hanging="360"/>
      </w:pPr>
    </w:lvl>
    <w:lvl w:ilvl="6" w:tplc="F5625D06">
      <w:start w:val="1"/>
      <w:numFmt w:val="bullet"/>
      <w:lvlText w:val="●"/>
      <w:lvlJc w:val="left"/>
      <w:pPr>
        <w:ind w:left="5040" w:hanging="360"/>
      </w:pPr>
    </w:lvl>
    <w:lvl w:ilvl="7" w:tplc="0E68FDC6">
      <w:start w:val="1"/>
      <w:numFmt w:val="bullet"/>
      <w:lvlText w:val="●"/>
      <w:lvlJc w:val="left"/>
      <w:pPr>
        <w:ind w:left="5760" w:hanging="360"/>
      </w:pPr>
    </w:lvl>
    <w:lvl w:ilvl="8" w:tplc="324ACC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EE0"/>
    <w:rsid w:val="0022188D"/>
    <w:rsid w:val="00392297"/>
    <w:rsid w:val="00395EE0"/>
    <w:rsid w:val="00AA2A0D"/>
    <w:rsid w:val="00B6311B"/>
    <w:rsid w:val="00CF4AF1"/>
    <w:rsid w:val="00E36886"/>
    <w:rsid w:val="00E44F08"/>
    <w:rsid w:val="00E8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238EB"/>
  <w15:docId w15:val="{8FB4F031-FE62-43C9-AE0C-D3EBD076B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F4A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moodle.thm.de/course/view.php?id=701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grebenshch/risk-dashboar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pp.powerbi.com/groups/me/reports/eb97e433-a66f-45c2-acf2-7ac1b30143ac/389f8e0c2816fcd49eec?experience=power-bi" TargetMode="External"/><Relationship Id="rId5" Type="http://schemas.openxmlformats.org/officeDocument/2006/relationships/hyperlink" Target="https://github.com/grebenshch/risk-dashboard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sharayeh.com/en/public-view/8f98fe4b-8968-4631-bdbc-30c6ccd32b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1548</Words>
  <Characters>8828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8</cp:revision>
  <dcterms:created xsi:type="dcterms:W3CDTF">2026-07-07T20:54:00Z</dcterms:created>
  <dcterms:modified xsi:type="dcterms:W3CDTF">2026-07-12T16:18:00Z</dcterms:modified>
</cp:coreProperties>
</file>