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rPr>
      </w:pPr>
      <w:r>
        <w:rPr>
          <w:b/>
          <w:bCs/>
          <w:sz w:val="24"/>
          <w:szCs w:val="24"/>
        </w:rPr>
        <w:t xml:space="preserve">Договор </w:t>
      </w:r>
      <w:r>
        <w:rPr>
          <w:b/>
          <w:bCs/>
          <w:sz w:val="24"/>
          <w:szCs w:val="24"/>
          <w:lang w:val="en-US"/>
        </w:rPr>
        <w:t xml:space="preserve">оказания услуг</w:t>
      </w:r>
      <w:r>
        <w:rPr>
          <w:rFonts w:hint="default"/>
          <w:b/>
          <w:bCs/>
          <w:sz w:val="24"/>
          <w:szCs w:val="24"/>
          <w:lang w:val="en-US"/>
        </w:rPr>
        <w:t xml:space="preserve"> </w:t>
      </w:r>
      <w:r>
        <w:rPr>
          <w:rFonts w:ascii="Times New Roman" w:hAnsi="Times New Roman"/>
          <w:b/>
          <w:color w:val="00A933"/>
          <w:shd w:val="clear" w:fill="auto"/>
          <w:lang w:eastAsia="ar-SA"/>
        </w:rPr>
        <w:t xml:space="preserve">123</w:t>
      </w:r>
    </w:p>
    <w:p>
      <w:pPr>
        <w:jc w:val="center"/>
        <w:rPr>
          <w:b/>
          <w:sz w:val="24"/>
          <w:szCs w:val="24"/>
        </w:rPr>
      </w:pPr>
      <w:bookmarkStart w:id="0" w:name="_Hlk163642965"/>
      <w:r>
        <w:rPr>
          <w:b/>
          <w:sz w:val="24"/>
          <w:szCs w:val="24"/>
        </w:rPr>
        <w:t>для выполнения работ</w:t>
      </w:r>
    </w:p>
    <w:p>
      <w:pPr>
        <w:shd w:val="clear" w:fill="FFFFFF"/>
        <w:suppressAutoHyphens/>
        <w:bidi w:val="0"/>
        <w:spacing w:before="0" w:after="0"/>
        <w:ind w:left="0" w:right="0" w:firstLine="0"/>
        <w:jc w:val="center"/>
        <w:rPr>
          <w:color w:val="00A933"/>
        </w:rPr>
      </w:pPr>
      <w:r>
        <w:rPr>
          <w:rFonts w:ascii="Times New Roman" w:hAnsi="Times New Roman"/>
          <w:b/>
          <w:color w:val="00A933"/>
          <w:shd w:val="clear" w:fill="auto"/>
          <w:lang w:eastAsia="ar-SA"/>
        </w:rPr>
        <w:t xml:space="preserve">«Строительство бизнесс центра святого Павла им. Петрова», расположенный по адресу: «Россия, г. Краснодар, ул. Мечникова, 8» ,в рамках рукопожатия, заключенного между ООО «РЭКС» и Администрацией Краснодарского края</w:t>
        <w:br/>
        <w:t xml:space="preserve"/>
      </w:r>
    </w:p>
    <w:p>
      <w:pPr>
        <w:jc w:val="center"/>
        <w:rPr>
          <w:sz w:val="22"/>
          <w:szCs w:val="22"/>
        </w:rPr>
      </w:pPr>
    </w:p>
    <w:p>
      <w:pPr>
        <w:jc w:val="both"/>
        <w:rPr>
          <w:sz w:val="24"/>
          <w:szCs w:val="24"/>
        </w:rPr>
      </w:pPr>
      <w:r>
        <w:rPr>
          <w:rFonts w:hint="default" w:ascii="Times New Roman" w:hAnsi="Times New Roman"/>
          <w:b/>
          <w:color w:val="00A933"/>
          <w:shd w:val="clear" w:fill="auto"/>
          <w:lang w:val="en-US" w:eastAsia="en-US"/>
        </w:rPr>
        <w:t xml:space="preserve">г. Краснодар</w:t>
        <w:br/>
        <w:t xml:space="preserve"> </w:t>
      </w:r>
      <w:r>
        <w:rPr>
          <w:sz w:val="24"/>
          <w:szCs w:val="24"/>
        </w:rPr>
        <w:t xml:space="preserve">                                                                                                   </w:t>
      </w:r>
      <w:r>
        <w:rPr>
          <w:rFonts w:hint="default" w:ascii="Times New Roman" w:hAnsi="Times New Roman"/>
          <w:b/>
          <w:color w:val="00A933"/>
          <w:shd w:val="clear" w:fill="auto"/>
          <w:lang w:val="en-US" w:eastAsia="en-US"/>
        </w:rPr>
        <w:t xml:space="preserve"> 22 апреля 2024 г.</w:t>
        <w:br/>
        <w:t xml:space="preserve"/>
      </w:r>
    </w:p>
    <w:p>
      <w:pPr>
        <w:jc w:val="both"/>
        <w:rPr>
          <w:b/>
          <w:sz w:val="24"/>
          <w:szCs w:val="24"/>
        </w:rPr>
      </w:pPr>
    </w:p>
    <w:p>
      <w:pPr>
        <w:spacing w:line="276" w:lineRule="auto"/>
        <w:jc w:val="both"/>
        <w:rPr>
          <w:sz w:val="24"/>
          <w:szCs w:val="24"/>
        </w:rPr>
      </w:pPr>
      <w:r>
        <w:rPr>
          <w:b/>
          <w:sz w:val="24"/>
          <w:szCs w:val="24"/>
        </w:rPr>
        <w:t xml:space="preserve">           Общество с ограниченной ответственностью «Ремэкспо Экострой» (ООО «РЭКС»)</w:t>
      </w:r>
      <w:r>
        <w:rPr>
          <w:sz w:val="24"/>
          <w:szCs w:val="24"/>
        </w:rPr>
        <w:t xml:space="preserve">, именуемое в дальнейшем </w:t>
      </w:r>
      <w:r>
        <w:rPr>
          <w:b/>
          <w:bCs/>
          <w:sz w:val="24"/>
          <w:szCs w:val="24"/>
        </w:rPr>
        <w:t>«Заказчик»,</w:t>
      </w:r>
      <w:r>
        <w:rPr>
          <w:sz w:val="24"/>
          <w:szCs w:val="24"/>
        </w:rPr>
        <w:t xml:space="preserve"> в лице Генерального директора Конарева Александра Ивановича, действующего на основании Устава, с одной стороны, </w:t>
      </w:r>
    </w:p>
    <w:p>
      <w:pPr>
        <w:spacing w:line="276" w:lineRule="auto"/>
        <w:ind w:firstLine="490"/>
        <w:jc w:val="both"/>
        <w:rPr>
          <w:sz w:val="24"/>
          <w:szCs w:val="24"/>
        </w:rPr>
      </w:pPr>
      <w:r>
        <w:rPr>
          <w:sz w:val="24"/>
          <w:szCs w:val="24"/>
        </w:rPr>
        <w:t xml:space="preserve">и </w:t>
      </w:r>
      <w:r>
        <w:rPr>
          <w:rFonts w:ascii="Times New Roman" w:hAnsi="Times New Roman"/>
          <w:b/>
          <w:color w:val="00A933"/>
          <w:shd w:val="clear" w:fill="auto"/>
          <w:lang w:eastAsia="en-US"/>
        </w:rPr>
        <w:t xml:space="preserve">ОБЩЕСТВО С ОГРАНИЧЕННОЙ ОТВЕТСТВЕННОСТЬЮ «МОНОЛИТ СЕРВИС»</w:t>
        <w:br/>
        <w:t xml:space="preserve"/>
      </w:r>
      <w:r>
        <w:rPr>
          <w:sz w:val="24"/>
          <w:szCs w:val="24"/>
        </w:rPr>
        <w:t xml:space="preserve">, именуемый в дальнейшем </w:t>
      </w:r>
      <w:r>
        <w:rPr>
          <w:b/>
          <w:bCs/>
          <w:sz w:val="24"/>
          <w:szCs w:val="24"/>
        </w:rPr>
        <w:t xml:space="preserve">«Исполнитель» </w:t>
      </w:r>
      <w:r>
        <w:rPr>
          <w:bCs/>
          <w:sz w:val="24"/>
          <w:szCs w:val="24"/>
        </w:rPr>
        <w:t xml:space="preserve">в лице </w:t>
      </w:r>
      <w:r>
        <w:rPr>
          <w:rFonts w:ascii="Times New Roman" w:hAnsi="Times New Roman"/>
          <w:b/>
          <w:color w:val="00A933"/>
          <w:shd w:val="clear" w:fill="auto"/>
          <w:lang w:eastAsia="en-US"/>
        </w:rPr>
        <w:t xml:space="preserve">Генерального директора Макарова Софья Степановна</w:t>
        <w:br/>
        <w:t xml:space="preserve"/>
      </w:r>
      <w:r>
        <w:rPr>
          <w:sz w:val="24"/>
          <w:szCs w:val="24"/>
        </w:rPr>
        <w:t xml:space="preserve">, действующего на основании </w:t>
      </w:r>
      <w:r>
        <w:rPr>
          <w:rFonts w:hint="default" w:ascii="Times New Roman" w:hAnsi="Times New Roman"/>
          <w:b/>
          <w:color w:val="00A933"/>
          <w:shd w:val="clear" w:fill="auto"/>
          <w:lang w:val="en-US" w:eastAsia="en-US"/>
        </w:rPr>
        <w:t xml:space="preserve"/>
      </w:r>
      <w:r>
        <w:rPr>
          <w:sz w:val="24"/>
          <w:szCs w:val="24"/>
        </w:rPr>
        <w:t>, с другой стороны, вместе именуемые «Стороны», заключили настоящий Договор о нижеследующем:</w:t>
      </w:r>
    </w:p>
    <w:p>
      <w:pPr>
        <w:spacing w:line="276" w:lineRule="auto"/>
        <w:jc w:val="both"/>
        <w:rPr>
          <w:b/>
          <w:color w:val="000000"/>
          <w:spacing w:val="3"/>
          <w:sz w:val="24"/>
          <w:szCs w:val="24"/>
        </w:rPr>
      </w:pPr>
    </w:p>
    <w:p>
      <w:pPr>
        <w:shd w:val="clear" w:color="auto" w:fill="FFFFFF"/>
        <w:spacing w:line="276" w:lineRule="auto"/>
        <w:ind w:left="490"/>
        <w:jc w:val="center"/>
        <w:rPr>
          <w:b/>
          <w:color w:val="000000"/>
          <w:spacing w:val="3"/>
          <w:sz w:val="24"/>
          <w:szCs w:val="24"/>
        </w:rPr>
      </w:pPr>
      <w:r>
        <w:rPr>
          <w:b/>
          <w:color w:val="000000"/>
          <w:spacing w:val="3"/>
          <w:sz w:val="24"/>
          <w:szCs w:val="24"/>
        </w:rPr>
        <w:t>1.ПРЕДМЕТ ДОГОВОРА И ОСНОВНЫЕ УСЛОВИЯ</w:t>
      </w:r>
    </w:p>
    <w:p>
      <w:pPr>
        <w:shd w:val="clear" w:color="auto" w:fill="FFFFFF"/>
        <w:spacing w:line="276" w:lineRule="auto"/>
        <w:ind w:left="490"/>
        <w:jc w:val="center"/>
        <w:rPr>
          <w:sz w:val="24"/>
          <w:szCs w:val="24"/>
        </w:rPr>
      </w:pPr>
    </w:p>
    <w:p>
      <w:pPr>
        <w:pStyle w:val="23"/>
        <w:tabs>
          <w:tab w:val="left" w:pos="1134"/>
        </w:tabs>
        <w:spacing w:after="0"/>
        <w:ind w:left="0"/>
        <w:jc w:val="both"/>
        <w:rPr>
          <w:rFonts w:ascii="Times New Roman" w:hAnsi="Times New Roman"/>
          <w:sz w:val="24"/>
          <w:szCs w:val="24"/>
        </w:rPr>
      </w:pPr>
      <w:r>
        <w:rPr>
          <w:rFonts w:ascii="Times New Roman" w:hAnsi="Times New Roman"/>
          <w:sz w:val="24"/>
          <w:szCs w:val="24"/>
        </w:rPr>
        <w:t>1.1. Предметом настоящего Договора является оказание Исполнителем своими силами услуг</w:t>
      </w:r>
      <w:r>
        <w:t xml:space="preserve"> </w:t>
      </w:r>
      <w:r>
        <w:rPr>
          <w:rFonts w:ascii="Times New Roman" w:hAnsi="Times New Roman"/>
          <w:sz w:val="24"/>
          <w:szCs w:val="24"/>
        </w:rPr>
        <w:t>по доставке  и  прокачке бетона автобетононасосом , предусмотренной Спецификацией (Приложение №1 к настоящему Договору) (</w:t>
      </w:r>
      <w:r>
        <w:rPr>
          <w:rFonts w:ascii="Times New Roman" w:hAnsi="Times New Roman"/>
          <w:b/>
          <w:sz w:val="24"/>
          <w:szCs w:val="24"/>
        </w:rPr>
        <w:t>далее по тексту - Техника</w:t>
      </w:r>
      <w:r>
        <w:rPr>
          <w:rFonts w:ascii="Times New Roman" w:hAnsi="Times New Roman"/>
          <w:sz w:val="24"/>
          <w:szCs w:val="24"/>
        </w:rPr>
        <w:t>) на объекте Заказчика:</w:t>
      </w:r>
      <w:r>
        <w:rPr>
          <w:rFonts w:ascii="Times New Roman" w:hAnsi="Times New Roman" w:eastAsia="Times New Roman"/>
          <w:b/>
          <w:bCs/>
          <w:sz w:val="24"/>
          <w:szCs w:val="24"/>
          <w:lang w:eastAsia="ru-RU"/>
        </w:rPr>
        <w:t xml:space="preserve"> </w:t>
      </w:r>
      <w:r>
        <w:rPr>
          <w:rFonts w:ascii="Times New Roman" w:hAnsi="Times New Roman"/>
          <w:b/>
          <w:bCs/>
          <w:color w:val="00A933"/>
          <w:shd w:val="clear" w:fill="auto"/>
          <w:lang w:eastAsia="ar-SA"/>
        </w:rPr>
        <w:t xml:space="preserve">«Строительство бизнесс центра святого Павла им. Петрова», расположенный по адресу: «Россия, г. Краснодар, ул. Мечникова, 8»</w:t>
        <w:br/>
        <w:t xml:space="preserve"/>
      </w:r>
      <w:r>
        <w:rPr>
          <w:rFonts w:ascii="Times New Roman" w:hAnsi="Times New Roman"/>
          <w:b/>
          <w:sz w:val="24"/>
          <w:szCs w:val="24"/>
        </w:rPr>
        <w:t xml:space="preserve"> (далее по тексту - «Объект»)</w:t>
      </w:r>
      <w:r>
        <w:rPr>
          <w:rFonts w:ascii="Times New Roman" w:hAnsi="Times New Roman"/>
          <w:sz w:val="24"/>
          <w:szCs w:val="24"/>
        </w:rPr>
        <w:t>.</w:t>
      </w:r>
    </w:p>
    <w:p>
      <w:pPr>
        <w:widowControl w:val="0"/>
        <w:shd w:val="clear" w:color="auto" w:fill="FFFFFF"/>
        <w:tabs>
          <w:tab w:val="left" w:pos="0"/>
        </w:tabs>
        <w:spacing w:line="276" w:lineRule="auto"/>
        <w:jc w:val="both"/>
        <w:rPr>
          <w:sz w:val="24"/>
          <w:szCs w:val="24"/>
        </w:rPr>
      </w:pPr>
      <w:r>
        <w:rPr>
          <w:sz w:val="24"/>
          <w:szCs w:val="24"/>
        </w:rPr>
        <w:t xml:space="preserve">1.2. Настоящий договор заключен в целях выполнения Заказчиком работ на Объекте в рамках муниципального контракта № 17/02/23-СМР от 17.02.2023г., заключенного между ООО «РЭКС» и Муниципальным казенным учреждением Департамента капитального строительства Администрации города Симферополь Республики Крым. </w:t>
      </w:r>
    </w:p>
    <w:p>
      <w:pPr>
        <w:spacing w:line="276" w:lineRule="auto"/>
        <w:jc w:val="both"/>
        <w:rPr>
          <w:sz w:val="24"/>
          <w:szCs w:val="24"/>
        </w:rPr>
      </w:pPr>
      <w:r>
        <w:rPr>
          <w:sz w:val="24"/>
          <w:szCs w:val="24"/>
        </w:rPr>
        <w:t>1.3. Исполнитель гарантирует, что Техника находится в исправном состоянии, отвечающем требованиям, предъявляемым к эксплуатируемым механизмам, используемым для производственных, коммерческих и иных целей в соответствии с конструктивным назначением предоставляемой Техники.</w:t>
      </w:r>
    </w:p>
    <w:p>
      <w:pPr>
        <w:shd w:val="clear" w:color="auto" w:fill="FFFFFF"/>
        <w:tabs>
          <w:tab w:val="left" w:pos="426"/>
        </w:tabs>
        <w:spacing w:line="276" w:lineRule="auto"/>
        <w:jc w:val="both"/>
        <w:rPr>
          <w:sz w:val="24"/>
          <w:szCs w:val="24"/>
        </w:rPr>
      </w:pPr>
    </w:p>
    <w:p>
      <w:pPr>
        <w:pStyle w:val="3"/>
        <w:spacing w:before="0" w:after="0" w:line="276" w:lineRule="auto"/>
        <w:jc w:val="center"/>
        <w:rPr>
          <w:rFonts w:ascii="Times New Roman" w:hAnsi="Times New Roman" w:cs="Times New Roman"/>
          <w:sz w:val="24"/>
          <w:szCs w:val="24"/>
        </w:rPr>
      </w:pPr>
      <w:r>
        <w:rPr>
          <w:rFonts w:ascii="Times New Roman" w:hAnsi="Times New Roman" w:cs="Times New Roman"/>
          <w:spacing w:val="1"/>
          <w:sz w:val="24"/>
          <w:szCs w:val="24"/>
        </w:rPr>
        <w:t>2</w:t>
      </w:r>
      <w:r>
        <w:rPr>
          <w:rFonts w:ascii="Times New Roman" w:hAnsi="Times New Roman" w:cs="Times New Roman"/>
          <w:sz w:val="24"/>
          <w:szCs w:val="24"/>
        </w:rPr>
        <w:t>.  ЦЕНА И ПОРЯДОК РАСЧЕТОВ ПО ДОГОВОРУ</w:t>
      </w:r>
    </w:p>
    <w:p/>
    <w:p>
      <w:pPr>
        <w:jc w:val="both"/>
        <w:rPr>
          <w:b/>
          <w:sz w:val="22"/>
          <w:szCs w:val="22"/>
        </w:rPr>
      </w:pPr>
      <w:r>
        <w:rPr>
          <w:spacing w:val="-9"/>
          <w:sz w:val="24"/>
          <w:szCs w:val="24"/>
        </w:rPr>
        <w:t>2.1.</w:t>
      </w:r>
      <w:r>
        <w:rPr>
          <w:sz w:val="24"/>
          <w:szCs w:val="24"/>
        </w:rPr>
        <w:t xml:space="preserve"> Цена настоящего Договора определяется Спецификацией (Приложение №1 к настоящему Договору) и составляет: </w:t>
      </w:r>
      <w:r>
        <w:rPr>
          <w:rFonts w:ascii="Times New Roman" w:hAnsi="Times New Roman"/>
          <w:color w:val="00A933"/>
          <w:shd w:val="clear" w:fill="auto"/>
          <w:lang w:eastAsia="ar-SA"/>
        </w:rPr>
        <w:t xml:space="preserve">196500.50</w:t>
      </w:r>
      <w:r>
        <w:rPr>
          <w:rFonts w:hint="default"/>
          <w:color w:val="00A933"/>
          <w:shd w:val="clear" w:fill="auto"/>
          <w:lang w:val="en-US" w:eastAsia="ar-SA"/>
        </w:rPr>
        <w:t xml:space="preserve"> сто девяносто шесть тысяч пятьсот рублей 50 копеек</w:t>
      </w:r>
      <w:r>
        <w:rPr>
          <w:rFonts w:ascii="Times New Roman" w:hAnsi="Times New Roman" w:cs="Times New Roman"/>
          <w:b/>
        </w:rPr>
        <w:t>, в том числе НДС 20 %.</w:t>
      </w:r>
      <w:r>
        <w:rPr>
          <w:b/>
          <w:sz w:val="22"/>
          <w:szCs w:val="22"/>
        </w:rPr>
        <w:t>.</w:t>
      </w:r>
    </w:p>
    <w:p>
      <w:pPr>
        <w:jc w:val="both"/>
        <w:rPr>
          <w:b/>
          <w:sz w:val="24"/>
          <w:szCs w:val="24"/>
        </w:rPr>
      </w:pPr>
    </w:p>
    <w:p>
      <w:pPr>
        <w:tabs>
          <w:tab w:val="left" w:pos="3969"/>
        </w:tabs>
        <w:spacing w:line="276" w:lineRule="auto"/>
        <w:jc w:val="both"/>
        <w:rPr>
          <w:spacing w:val="3"/>
          <w:sz w:val="24"/>
          <w:szCs w:val="24"/>
        </w:rPr>
      </w:pPr>
      <w:r>
        <w:rPr>
          <w:spacing w:val="3"/>
          <w:sz w:val="24"/>
          <w:szCs w:val="24"/>
        </w:rPr>
        <w:t>2.2. Оплата производится еженедельно, в течение 5 (пяти) банковских дней с момента подписания Сторонами УПД (универсальный передаточный документ), в котором указано фактическое время работы техники за прошедшую неделю и стоимость в соответствии со Спецификацией.</w:t>
      </w:r>
    </w:p>
    <w:p>
      <w:pPr>
        <w:pStyle w:val="13"/>
        <w:widowControl w:val="0"/>
        <w:spacing w:after="0" w:line="276" w:lineRule="auto"/>
        <w:jc w:val="both"/>
        <w:rPr>
          <w:sz w:val="24"/>
          <w:szCs w:val="24"/>
        </w:rPr>
      </w:pPr>
      <w:r>
        <w:rPr>
          <w:spacing w:val="3"/>
          <w:sz w:val="24"/>
          <w:szCs w:val="24"/>
        </w:rPr>
        <w:t>2.3.</w:t>
      </w:r>
      <w:r>
        <w:rPr>
          <w:sz w:val="24"/>
          <w:szCs w:val="24"/>
        </w:rPr>
        <w:t xml:space="preserve"> Организация транспортировки Техники на объект и обратно осуществляется силами и средствами Исполнителя за его счет. Стоимость транспортировки Спецтехники включена в стоимость услуги, указанной в Спецификации (приложение №1 к настоящему Договору).</w:t>
      </w:r>
    </w:p>
    <w:p>
      <w:pPr>
        <w:spacing w:line="276" w:lineRule="auto"/>
        <w:jc w:val="both"/>
        <w:rPr>
          <w:sz w:val="24"/>
          <w:szCs w:val="24"/>
        </w:rPr>
      </w:pPr>
      <w:r>
        <w:rPr>
          <w:sz w:val="24"/>
          <w:szCs w:val="24"/>
        </w:rPr>
        <w:t>2.4. Стороны Договора определили, что расходы по оплате услуг состава экипажей предоставляемой Техники, а также расходы на содержание Техники, расходы на ГСМ включены в стоимость услуг.</w:t>
      </w:r>
    </w:p>
    <w:p>
      <w:pPr>
        <w:spacing w:line="276" w:lineRule="auto"/>
        <w:jc w:val="both"/>
        <w:rPr>
          <w:spacing w:val="-5"/>
          <w:sz w:val="24"/>
          <w:szCs w:val="24"/>
        </w:rPr>
      </w:pPr>
      <w:r>
        <w:rPr>
          <w:spacing w:val="-3"/>
          <w:sz w:val="24"/>
          <w:szCs w:val="24"/>
        </w:rPr>
        <w:t>2.5. Оплата по настоящему Договору осущ</w:t>
      </w:r>
      <w:bookmarkStart w:id="2" w:name="_GoBack"/>
      <w:bookmarkEnd w:id="2"/>
      <w:r>
        <w:rPr>
          <w:spacing w:val="-3"/>
          <w:sz w:val="24"/>
          <w:szCs w:val="24"/>
        </w:rPr>
        <w:t xml:space="preserve">ествляется по безналичному расчету путем перечисления Заказчиком денежных средств на банковский счет Исполнителя, </w:t>
      </w:r>
      <w:r>
        <w:rPr>
          <w:spacing w:val="-5"/>
          <w:sz w:val="24"/>
          <w:szCs w:val="24"/>
        </w:rPr>
        <w:t>указанный в Договоре.</w:t>
      </w:r>
    </w:p>
    <w:p>
      <w:pPr>
        <w:jc w:val="both"/>
        <w:rPr>
          <w:color w:val="000000"/>
          <w:sz w:val="24"/>
          <w:szCs w:val="24"/>
        </w:rPr>
      </w:pPr>
    </w:p>
    <w:bookmarkEnd w:id="0"/>
    <w:p>
      <w:pPr>
        <w:shd w:val="clear" w:color="auto" w:fill="FFFFFF"/>
        <w:tabs>
          <w:tab w:val="left" w:pos="1001"/>
        </w:tabs>
        <w:spacing w:line="276" w:lineRule="auto"/>
        <w:jc w:val="center"/>
        <w:rPr>
          <w:b/>
          <w:spacing w:val="2"/>
          <w:sz w:val="24"/>
          <w:szCs w:val="24"/>
        </w:rPr>
      </w:pPr>
      <w:r>
        <w:rPr>
          <w:b/>
          <w:spacing w:val="2"/>
          <w:sz w:val="24"/>
          <w:szCs w:val="24"/>
        </w:rPr>
        <w:t>3. СРОК ОКАЗАНИЯ УСЛУГ И СРОК ДЕЙСТВИЯ ДОГОВОРА</w:t>
      </w:r>
    </w:p>
    <w:p>
      <w:pPr>
        <w:shd w:val="clear" w:color="auto" w:fill="FFFFFF"/>
        <w:tabs>
          <w:tab w:val="left" w:pos="1001"/>
        </w:tabs>
        <w:spacing w:line="276" w:lineRule="auto"/>
        <w:jc w:val="center"/>
        <w:rPr>
          <w:b/>
          <w:spacing w:val="2"/>
          <w:sz w:val="24"/>
          <w:szCs w:val="24"/>
        </w:rPr>
      </w:pPr>
    </w:p>
    <w:p>
      <w:pPr>
        <w:shd w:val="clear" w:color="auto" w:fill="FFFFFF"/>
        <w:spacing w:line="276" w:lineRule="auto"/>
        <w:jc w:val="both"/>
        <w:rPr>
          <w:sz w:val="24"/>
          <w:szCs w:val="24"/>
        </w:rPr>
      </w:pPr>
      <w:r>
        <w:rPr>
          <w:sz w:val="24"/>
          <w:szCs w:val="24"/>
        </w:rPr>
        <w:t>3.1. Срок оказания услуг по настоящему Договору: с 09.04.2024 г. по 01.12.2024 г.</w:t>
      </w:r>
    </w:p>
    <w:p>
      <w:pPr>
        <w:shd w:val="clear" w:color="auto" w:fill="FFFFFF"/>
        <w:spacing w:line="276" w:lineRule="auto"/>
        <w:jc w:val="both"/>
        <w:rPr>
          <w:sz w:val="24"/>
          <w:szCs w:val="24"/>
        </w:rPr>
      </w:pPr>
      <w:r>
        <w:rPr>
          <w:sz w:val="24"/>
          <w:szCs w:val="24"/>
        </w:rPr>
        <w:t>3.2. Срок действия настоящего Договора до 01.12.2024 г.</w:t>
      </w:r>
    </w:p>
    <w:p>
      <w:pPr>
        <w:shd w:val="clear" w:color="auto" w:fill="FFFFFF"/>
        <w:tabs>
          <w:tab w:val="left" w:pos="554"/>
        </w:tabs>
        <w:spacing w:line="276" w:lineRule="auto"/>
        <w:jc w:val="both"/>
        <w:rPr>
          <w:sz w:val="24"/>
          <w:szCs w:val="24"/>
        </w:rPr>
      </w:pPr>
      <w:r>
        <w:rPr>
          <w:sz w:val="24"/>
          <w:szCs w:val="24"/>
        </w:rPr>
        <w:t>3.3. Изменение срока оказания услуг производится только на основании дополнительного соглашения к настоящему Договору.</w:t>
      </w:r>
    </w:p>
    <w:p>
      <w:pPr>
        <w:autoSpaceDE w:val="0"/>
        <w:autoSpaceDN w:val="0"/>
        <w:adjustRightInd w:val="0"/>
        <w:spacing w:line="276" w:lineRule="auto"/>
        <w:jc w:val="both"/>
        <w:rPr>
          <w:b/>
          <w:spacing w:val="6"/>
          <w:sz w:val="24"/>
          <w:szCs w:val="24"/>
        </w:rPr>
      </w:pPr>
    </w:p>
    <w:p>
      <w:pPr>
        <w:autoSpaceDE w:val="0"/>
        <w:autoSpaceDN w:val="0"/>
        <w:adjustRightInd w:val="0"/>
        <w:spacing w:line="276" w:lineRule="auto"/>
        <w:jc w:val="center"/>
        <w:rPr>
          <w:b/>
          <w:color w:val="000000"/>
          <w:spacing w:val="6"/>
          <w:sz w:val="24"/>
          <w:szCs w:val="24"/>
        </w:rPr>
      </w:pPr>
      <w:r>
        <w:rPr>
          <w:b/>
          <w:color w:val="000000"/>
          <w:spacing w:val="6"/>
          <w:sz w:val="24"/>
          <w:szCs w:val="24"/>
        </w:rPr>
        <w:t>4. ПРАВА И ОБЯЗАННОСТИ СТОРОН</w:t>
      </w:r>
    </w:p>
    <w:p>
      <w:pPr>
        <w:autoSpaceDE w:val="0"/>
        <w:autoSpaceDN w:val="0"/>
        <w:adjustRightInd w:val="0"/>
        <w:spacing w:line="276" w:lineRule="auto"/>
        <w:rPr>
          <w:sz w:val="24"/>
          <w:szCs w:val="24"/>
        </w:rPr>
      </w:pPr>
      <w:r>
        <w:rPr>
          <w:sz w:val="24"/>
          <w:szCs w:val="24"/>
        </w:rPr>
        <w:t xml:space="preserve">4.1. </w:t>
      </w:r>
      <w:r>
        <w:rPr>
          <w:b/>
          <w:sz w:val="24"/>
          <w:szCs w:val="24"/>
          <w:lang w:val="en-US"/>
        </w:rPr>
        <w:t>Исполнитель</w:t>
      </w:r>
      <w:r>
        <w:rPr>
          <w:b/>
          <w:sz w:val="24"/>
          <w:szCs w:val="24"/>
        </w:rPr>
        <w:t xml:space="preserve"> обязуется</w:t>
      </w:r>
      <w:r>
        <w:rPr>
          <w:sz w:val="24"/>
          <w:szCs w:val="24"/>
        </w:rPr>
        <w:t>:</w:t>
      </w:r>
    </w:p>
    <w:p>
      <w:pPr>
        <w:spacing w:line="276" w:lineRule="auto"/>
        <w:ind w:right="-569"/>
        <w:jc w:val="both"/>
        <w:rPr>
          <w:sz w:val="24"/>
          <w:szCs w:val="24"/>
        </w:rPr>
      </w:pPr>
      <w:r>
        <w:rPr>
          <w:sz w:val="24"/>
          <w:szCs w:val="24"/>
        </w:rPr>
        <w:t>4.1.1. Предоставить Технику в технически исправном состоянии.</w:t>
      </w:r>
    </w:p>
    <w:p>
      <w:pPr>
        <w:spacing w:line="276" w:lineRule="auto"/>
        <w:jc w:val="both"/>
        <w:rPr>
          <w:sz w:val="24"/>
          <w:szCs w:val="24"/>
        </w:rPr>
      </w:pPr>
      <w:r>
        <w:rPr>
          <w:sz w:val="24"/>
          <w:szCs w:val="24"/>
        </w:rPr>
        <w:t xml:space="preserve">4.1.2. Предоставить квалифицированного машиниста (экипаж) для каждой единицы, обладающего необходимыми знаниями, квалификацией и документами по управлению строительной техникой для управления Техникой. Персоналом, осуществляющим управление и техническую эксплуатацию Техники, являются работники Исполнителя. Они подчиняются распоряжениям Исполнителя, относящимся к управлению и технической эксплуатации, и распоряжениям Заказчика, касающимся производственной эксплуатации Техники. Исполнитель обязан провести персоналу, осуществляющему управление и техническую эксплуатацию Техники, инструктаж по технике безопасности. Исполнитель несет ответственность за своих работников перед Заказчиком и соответствующими государственными органами и отвечает за вред, причиненный работниками Исполнителя. </w:t>
      </w:r>
    </w:p>
    <w:p>
      <w:pPr>
        <w:spacing w:line="276" w:lineRule="auto"/>
        <w:jc w:val="both"/>
        <w:rPr>
          <w:sz w:val="24"/>
          <w:szCs w:val="24"/>
        </w:rPr>
      </w:pPr>
      <w:r>
        <w:rPr>
          <w:sz w:val="24"/>
          <w:szCs w:val="24"/>
        </w:rPr>
        <w:t>4.1.3. Обеспечить безопасную эксплуатацию Техники в соответствии с руководством по эксплуатации Техники и требованиями действующего законодательства РФ, незамедлительно проводить текущий и капитальный ремонт, предоставлять в необходимых количествах ГСМ, иные расходные материалы.</w:t>
      </w:r>
    </w:p>
    <w:p>
      <w:pPr>
        <w:spacing w:line="276" w:lineRule="auto"/>
        <w:jc w:val="both"/>
        <w:rPr>
          <w:sz w:val="24"/>
          <w:szCs w:val="24"/>
        </w:rPr>
      </w:pPr>
      <w:r>
        <w:rPr>
          <w:sz w:val="24"/>
          <w:szCs w:val="24"/>
        </w:rPr>
        <w:t>4.1.4. В случае полного выхода из строя в период срока оказания услуг  предоставленной Техники, по согласованию с Заказчиком рассмотреть вопрос о возможной замене такой Спецтехники в максимально короткий срок (но не более суток) на аналогичную.</w:t>
      </w:r>
    </w:p>
    <w:p>
      <w:pPr>
        <w:ind w:firstLine="708"/>
        <w:jc w:val="both"/>
        <w:rPr>
          <w:color w:val="000000"/>
          <w:spacing w:val="2"/>
          <w:sz w:val="24"/>
          <w:szCs w:val="24"/>
        </w:rPr>
      </w:pPr>
      <w:r>
        <w:rPr>
          <w:sz w:val="24"/>
          <w:szCs w:val="24"/>
        </w:rPr>
        <w:t xml:space="preserve">4.1.5. Соблюдать установленные на объекте правила по охране труда, технике безопасности, охране окружающей среды, зеленых насаждений и земли, пожарной безопасности. </w:t>
      </w:r>
      <w:r>
        <w:rPr>
          <w:color w:val="000000"/>
          <w:spacing w:val="2"/>
          <w:sz w:val="24"/>
          <w:szCs w:val="24"/>
        </w:rPr>
        <w:t xml:space="preserve">Обеспечить на строительной площадке выполнение необходимых мероприятий по </w:t>
      </w:r>
      <w:r>
        <w:rPr>
          <w:sz w:val="24"/>
          <w:szCs w:val="24"/>
        </w:rPr>
        <w:t>охране труда, противопожарной безопасности, экологической безопасности и санитарно-гигиенической безопасности</w:t>
      </w:r>
      <w:r>
        <w:rPr>
          <w:color w:val="000000"/>
          <w:spacing w:val="2"/>
          <w:sz w:val="24"/>
          <w:szCs w:val="24"/>
        </w:rPr>
        <w:t>. Заказчик вправе контролировать выполнение Субподрядчиком на строительной площадке Объекта вышеуказанных мероприятий. В случае выявления Заказчиком доказанных нарушений Исполнителем техники безопасности, требований охраны труда и охраны окружающей среды (доказательством являются: составленные акты нарушений за подписью трех сторон (нарушитель, заказчик и не заинтересованное лицо), Заказчик вправе наложить на Исполнителя штрафные санкции в размере 10 000,00 рублей за одно нарушение.</w:t>
      </w:r>
    </w:p>
    <w:p>
      <w:pPr>
        <w:spacing w:line="276" w:lineRule="auto"/>
        <w:jc w:val="both"/>
        <w:rPr>
          <w:sz w:val="24"/>
          <w:szCs w:val="24"/>
        </w:rPr>
      </w:pPr>
      <w:r>
        <w:rPr>
          <w:sz w:val="24"/>
          <w:szCs w:val="24"/>
        </w:rPr>
        <w:t>4.1.6. Обеспечить соблюдение правил безопасности труда при производстве работ на объекте.</w:t>
      </w:r>
    </w:p>
    <w:p>
      <w:pPr>
        <w:spacing w:line="276" w:lineRule="auto"/>
        <w:jc w:val="both"/>
        <w:rPr>
          <w:sz w:val="24"/>
          <w:szCs w:val="24"/>
        </w:rPr>
      </w:pPr>
      <w:r>
        <w:rPr>
          <w:sz w:val="24"/>
          <w:szCs w:val="24"/>
        </w:rPr>
        <w:t>4.1.7. Обеспечивать работу Техники ежедневно с понедельника по субботу включительно с 08 00 по 18 00 с учетом перерыва 1 час на обед и отдых. Воскресенье выходной.</w:t>
      </w:r>
    </w:p>
    <w:p>
      <w:pPr>
        <w:spacing w:line="276" w:lineRule="auto"/>
        <w:ind w:right="-569"/>
        <w:jc w:val="both"/>
        <w:rPr>
          <w:sz w:val="24"/>
          <w:szCs w:val="24"/>
        </w:rPr>
      </w:pPr>
    </w:p>
    <w:p>
      <w:pPr>
        <w:spacing w:line="276" w:lineRule="auto"/>
        <w:ind w:right="-569"/>
        <w:jc w:val="both"/>
        <w:rPr>
          <w:sz w:val="24"/>
          <w:szCs w:val="24"/>
        </w:rPr>
      </w:pPr>
      <w:r>
        <w:rPr>
          <w:sz w:val="24"/>
          <w:szCs w:val="24"/>
        </w:rPr>
        <w:t xml:space="preserve">4.2. </w:t>
      </w:r>
      <w:r>
        <w:rPr>
          <w:b/>
          <w:sz w:val="24"/>
          <w:szCs w:val="24"/>
        </w:rPr>
        <w:t>Исполнитель вправе</w:t>
      </w:r>
      <w:r>
        <w:rPr>
          <w:sz w:val="24"/>
          <w:szCs w:val="24"/>
        </w:rPr>
        <w:t>:</w:t>
      </w:r>
    </w:p>
    <w:p>
      <w:pPr>
        <w:spacing w:line="276" w:lineRule="auto"/>
        <w:jc w:val="both"/>
        <w:rPr>
          <w:sz w:val="24"/>
          <w:szCs w:val="24"/>
        </w:rPr>
      </w:pPr>
      <w:r>
        <w:rPr>
          <w:sz w:val="24"/>
          <w:szCs w:val="24"/>
        </w:rPr>
        <w:t>4.2.1. В любое время проверять порядок использования Заказчиком Техники в соответствии с условиями настоящего договора.</w:t>
      </w:r>
    </w:p>
    <w:p>
      <w:pPr>
        <w:spacing w:line="276" w:lineRule="auto"/>
        <w:jc w:val="both"/>
        <w:rPr>
          <w:sz w:val="24"/>
          <w:szCs w:val="24"/>
        </w:rPr>
      </w:pPr>
      <w:r>
        <w:rPr>
          <w:sz w:val="24"/>
          <w:szCs w:val="24"/>
        </w:rPr>
        <w:t>4.2.2. В случае нарушения Заказчиком оговоренных целей эксплуатации предоставленной Техники потребовать ее досрочного возврата.</w:t>
      </w:r>
    </w:p>
    <w:p>
      <w:pPr>
        <w:spacing w:line="276" w:lineRule="auto"/>
        <w:jc w:val="both"/>
        <w:rPr>
          <w:sz w:val="24"/>
          <w:szCs w:val="24"/>
        </w:rPr>
      </w:pPr>
      <w:r>
        <w:rPr>
          <w:sz w:val="24"/>
          <w:szCs w:val="24"/>
        </w:rPr>
        <w:t>4.2.3. Приостановить эксплуатацию Техники в целях проведения регламентных работ по ее техническому обслуживанию, заблаговременно согласовав с заказчиком время и срок такой приостановки.</w:t>
      </w:r>
    </w:p>
    <w:p>
      <w:pPr>
        <w:spacing w:line="276" w:lineRule="auto"/>
        <w:jc w:val="both"/>
        <w:rPr>
          <w:sz w:val="24"/>
          <w:szCs w:val="24"/>
        </w:rPr>
      </w:pPr>
      <w:r>
        <w:rPr>
          <w:sz w:val="24"/>
          <w:szCs w:val="24"/>
        </w:rPr>
        <w:t>4.2.4. В случае нарушения Заказчиком оговоренных сроков оплаты за арендуемую технику, потребовать ее досрочного возврата</w:t>
      </w:r>
    </w:p>
    <w:p>
      <w:pPr>
        <w:spacing w:line="276" w:lineRule="auto"/>
        <w:ind w:left="-284" w:right="-569"/>
        <w:jc w:val="both"/>
        <w:rPr>
          <w:sz w:val="24"/>
          <w:szCs w:val="24"/>
        </w:rPr>
      </w:pPr>
    </w:p>
    <w:p>
      <w:pPr>
        <w:spacing w:line="276" w:lineRule="auto"/>
        <w:ind w:right="-569"/>
        <w:jc w:val="both"/>
        <w:rPr>
          <w:sz w:val="24"/>
          <w:szCs w:val="24"/>
        </w:rPr>
      </w:pPr>
      <w:r>
        <w:rPr>
          <w:sz w:val="24"/>
          <w:szCs w:val="24"/>
        </w:rPr>
        <w:t xml:space="preserve">4.3. </w:t>
      </w:r>
      <w:r>
        <w:rPr>
          <w:b/>
          <w:sz w:val="24"/>
          <w:szCs w:val="24"/>
          <w:lang w:val="en-US"/>
        </w:rPr>
        <w:t>Заказчик</w:t>
      </w:r>
      <w:r>
        <w:rPr>
          <w:b/>
          <w:sz w:val="24"/>
          <w:szCs w:val="24"/>
        </w:rPr>
        <w:t xml:space="preserve"> обязуется</w:t>
      </w:r>
      <w:r>
        <w:rPr>
          <w:sz w:val="24"/>
          <w:szCs w:val="24"/>
        </w:rPr>
        <w:t>:</w:t>
      </w:r>
    </w:p>
    <w:p>
      <w:pPr>
        <w:spacing w:line="276" w:lineRule="auto"/>
        <w:jc w:val="both"/>
        <w:rPr>
          <w:sz w:val="24"/>
          <w:szCs w:val="24"/>
        </w:rPr>
      </w:pPr>
      <w:r>
        <w:rPr>
          <w:sz w:val="24"/>
          <w:szCs w:val="24"/>
        </w:rPr>
        <w:t>4.3.1. Произвести все согласования (при необходимости) на проведение земляных работ в муниципальных и прочих профильных разрешительных органах (в т.ч. Водоканала, Энергосбыта, Газового треста, ГТС, ГИБДД и прочих) и таким образом единолично нести ответственность за возможные повреждения соответствующих коммуникаций, техникой Арендодателя.</w:t>
      </w:r>
    </w:p>
    <w:p>
      <w:pPr>
        <w:spacing w:line="276" w:lineRule="auto"/>
        <w:jc w:val="both"/>
        <w:rPr>
          <w:sz w:val="24"/>
          <w:szCs w:val="24"/>
        </w:rPr>
      </w:pPr>
      <w:r>
        <w:rPr>
          <w:sz w:val="24"/>
          <w:szCs w:val="24"/>
        </w:rPr>
        <w:t>4.3.2. Назначить ответственного за эксплуатацию Техники Исполнителя, который уполномочен давать распоряжения машинисту для каждой единицы Техники по организации работ на Объекте.</w:t>
      </w:r>
    </w:p>
    <w:p>
      <w:pPr>
        <w:spacing w:line="276" w:lineRule="auto"/>
        <w:ind w:right="-569"/>
        <w:jc w:val="both"/>
        <w:rPr>
          <w:sz w:val="24"/>
          <w:szCs w:val="24"/>
        </w:rPr>
      </w:pPr>
      <w:r>
        <w:rPr>
          <w:sz w:val="24"/>
          <w:szCs w:val="24"/>
        </w:rPr>
        <w:t xml:space="preserve">4.3.3. Произвести инструктаж машиниста для каждой единицы Техники по особенностям производства работ на Объекте. </w:t>
      </w:r>
    </w:p>
    <w:p>
      <w:pPr>
        <w:spacing w:line="276" w:lineRule="auto"/>
        <w:jc w:val="both"/>
        <w:rPr>
          <w:sz w:val="24"/>
          <w:szCs w:val="24"/>
        </w:rPr>
      </w:pPr>
      <w:r>
        <w:rPr>
          <w:sz w:val="24"/>
          <w:szCs w:val="24"/>
        </w:rPr>
        <w:t>4.3.4. Немедленно извещать Исполнителя о любом повреждении, аварии или ином событии, нанесшем (или грозящем нанести) Технике ущерб и своевременно принимать необходимые меры по предотвращению ущерба и/или предупреждению угрозы его возникновения.</w:t>
      </w:r>
    </w:p>
    <w:p>
      <w:pPr>
        <w:spacing w:line="276" w:lineRule="auto"/>
        <w:jc w:val="both"/>
        <w:rPr>
          <w:sz w:val="24"/>
          <w:szCs w:val="24"/>
        </w:rPr>
      </w:pPr>
      <w:r>
        <w:rPr>
          <w:sz w:val="24"/>
          <w:szCs w:val="24"/>
        </w:rPr>
        <w:t>4.3.5. В срок, согласованный Сторонами настоящего Договора, вносить арендную плату за пользование полученной в аренду Техникой с экипажем.</w:t>
      </w:r>
    </w:p>
    <w:p>
      <w:pPr>
        <w:spacing w:line="276" w:lineRule="auto"/>
        <w:jc w:val="both"/>
        <w:rPr>
          <w:sz w:val="24"/>
          <w:szCs w:val="24"/>
        </w:rPr>
      </w:pPr>
      <w:r>
        <w:rPr>
          <w:sz w:val="24"/>
          <w:szCs w:val="24"/>
        </w:rPr>
        <w:t>4.3.6. Бережно относиться к Технике. Не вскрывать предоставленную Технику и не производить ремонт и изменения конструкции без письменного согласия Исполнителя и участия специалистов Исполнителя.</w:t>
      </w:r>
    </w:p>
    <w:p>
      <w:pPr>
        <w:spacing w:line="276" w:lineRule="auto"/>
        <w:jc w:val="both"/>
        <w:rPr>
          <w:sz w:val="24"/>
          <w:szCs w:val="24"/>
        </w:rPr>
      </w:pPr>
      <w:r>
        <w:rPr>
          <w:sz w:val="24"/>
          <w:szCs w:val="24"/>
        </w:rPr>
        <w:t>4.3.7. Направить письменное уведомление в адрес Исполнителяя об отказе от оказания услуг или окончании предполагаемого срока производственной эксплуатации не менее чем за 10 (десять) рабочих дней до предполагаемой даты отказа от Договора.</w:t>
      </w:r>
    </w:p>
    <w:p>
      <w:pPr>
        <w:spacing w:line="276" w:lineRule="auto"/>
        <w:jc w:val="both"/>
        <w:rPr>
          <w:sz w:val="24"/>
          <w:szCs w:val="24"/>
        </w:rPr>
      </w:pPr>
      <w:r>
        <w:rPr>
          <w:sz w:val="24"/>
          <w:szCs w:val="24"/>
        </w:rPr>
        <w:t xml:space="preserve">4.3.8. Не использовании Технику для оказания услуг третьим лицам, без письменного согласия Исполнителя. </w:t>
      </w:r>
    </w:p>
    <w:p>
      <w:pPr>
        <w:spacing w:line="276" w:lineRule="auto"/>
        <w:jc w:val="both"/>
        <w:rPr>
          <w:sz w:val="24"/>
          <w:szCs w:val="24"/>
        </w:rPr>
      </w:pPr>
      <w:r>
        <w:rPr>
          <w:sz w:val="24"/>
          <w:szCs w:val="24"/>
        </w:rPr>
        <w:t>4.3.9. Собственными силами обеспечить снабжение Техники электроэнергией в случае ее необходимости для эксплуатации Техники на объекте.</w:t>
      </w:r>
    </w:p>
    <w:p>
      <w:pPr>
        <w:spacing w:line="276" w:lineRule="auto"/>
        <w:ind w:left="-284" w:right="-569"/>
        <w:jc w:val="both"/>
        <w:rPr>
          <w:sz w:val="24"/>
          <w:szCs w:val="24"/>
        </w:rPr>
      </w:pPr>
    </w:p>
    <w:p>
      <w:pPr>
        <w:spacing w:line="276" w:lineRule="auto"/>
        <w:ind w:right="-569"/>
        <w:jc w:val="both"/>
        <w:rPr>
          <w:sz w:val="24"/>
          <w:szCs w:val="24"/>
        </w:rPr>
      </w:pPr>
      <w:r>
        <w:rPr>
          <w:sz w:val="24"/>
          <w:szCs w:val="24"/>
        </w:rPr>
        <w:t xml:space="preserve">4.4. </w:t>
      </w:r>
      <w:r>
        <w:rPr>
          <w:b/>
          <w:sz w:val="24"/>
          <w:szCs w:val="24"/>
        </w:rPr>
        <w:t>Заказчик вправе</w:t>
      </w:r>
      <w:r>
        <w:rPr>
          <w:sz w:val="24"/>
          <w:szCs w:val="24"/>
        </w:rPr>
        <w:t>:</w:t>
      </w:r>
    </w:p>
    <w:p>
      <w:pPr>
        <w:spacing w:line="276" w:lineRule="auto"/>
        <w:jc w:val="both"/>
        <w:rPr>
          <w:sz w:val="24"/>
          <w:szCs w:val="24"/>
        </w:rPr>
      </w:pPr>
      <w:r>
        <w:rPr>
          <w:sz w:val="24"/>
          <w:szCs w:val="24"/>
        </w:rPr>
        <w:t>4.4.1. В случае поломки единицы Техники (не по вине Заказчика) требовать замены на аналогичную или требовать соразмерного уменьшения арендной платы.</w:t>
      </w:r>
    </w:p>
    <w:p>
      <w:pPr>
        <w:autoSpaceDE w:val="0"/>
        <w:autoSpaceDN w:val="0"/>
        <w:adjustRightInd w:val="0"/>
        <w:spacing w:line="276" w:lineRule="auto"/>
        <w:jc w:val="both"/>
        <w:rPr>
          <w:sz w:val="24"/>
          <w:szCs w:val="24"/>
        </w:rPr>
      </w:pPr>
    </w:p>
    <w:p>
      <w:pPr>
        <w:spacing w:line="276" w:lineRule="auto"/>
        <w:ind w:left="-284" w:right="-567"/>
        <w:jc w:val="center"/>
        <w:rPr>
          <w:b/>
          <w:sz w:val="24"/>
          <w:szCs w:val="24"/>
        </w:rPr>
      </w:pPr>
      <w:r>
        <w:rPr>
          <w:b/>
          <w:sz w:val="24"/>
          <w:szCs w:val="24"/>
        </w:rPr>
        <w:t>5. ОТВЕТСТВЕННОСТЬ СТОРОН</w:t>
      </w:r>
    </w:p>
    <w:p>
      <w:pPr>
        <w:spacing w:line="276" w:lineRule="auto"/>
        <w:ind w:left="-284" w:right="-567"/>
        <w:jc w:val="center"/>
        <w:rPr>
          <w:sz w:val="24"/>
          <w:szCs w:val="24"/>
        </w:rPr>
      </w:pPr>
    </w:p>
    <w:p>
      <w:pPr>
        <w:spacing w:line="276" w:lineRule="auto"/>
        <w:jc w:val="both"/>
        <w:rPr>
          <w:sz w:val="24"/>
          <w:szCs w:val="24"/>
        </w:rPr>
      </w:pPr>
      <w:r>
        <w:rPr>
          <w:sz w:val="24"/>
          <w:szCs w:val="24"/>
        </w:rPr>
        <w:t>5.1. Исполнитель несет ответственность за предоставление Техники, не отвечающей целям ее использования Заказчиком.</w:t>
      </w:r>
    </w:p>
    <w:p>
      <w:pPr>
        <w:spacing w:line="276" w:lineRule="auto"/>
        <w:jc w:val="both"/>
        <w:rPr>
          <w:sz w:val="24"/>
          <w:szCs w:val="24"/>
        </w:rPr>
      </w:pPr>
      <w:r>
        <w:rPr>
          <w:sz w:val="24"/>
          <w:szCs w:val="24"/>
        </w:rPr>
        <w:t>5.2. В случае нарушения сроков предоставления Техники либо ее непредставления по вине Исполнитель, Заказчик вправе взыскать с Исполнителя штрафную неустойку в размере 1% от Цены Договора за каждый день просрочки.</w:t>
      </w:r>
    </w:p>
    <w:p>
      <w:pPr>
        <w:spacing w:line="276" w:lineRule="auto"/>
        <w:jc w:val="both"/>
        <w:rPr>
          <w:sz w:val="24"/>
          <w:szCs w:val="24"/>
        </w:rPr>
      </w:pPr>
      <w:r>
        <w:rPr>
          <w:sz w:val="24"/>
          <w:szCs w:val="24"/>
        </w:rPr>
        <w:t>5.3. За нарушение сроков внесения платы за оказанные и принятые Заказчиком услуги по управлению, техническому содержанию (обслуживанию) и эксплуатации спецтехники, Исполнитель вправе взыскать с Заказчика штрафную неустойку в размере 1%от суммы просроченного платежа за каждый день просрочки.</w:t>
      </w:r>
    </w:p>
    <w:p>
      <w:pPr>
        <w:spacing w:line="276" w:lineRule="auto"/>
        <w:jc w:val="both"/>
        <w:rPr>
          <w:sz w:val="24"/>
          <w:szCs w:val="24"/>
        </w:rPr>
      </w:pPr>
      <w:r>
        <w:rPr>
          <w:sz w:val="24"/>
          <w:szCs w:val="24"/>
        </w:rPr>
        <w:t>5.4. Заказчик возмещает Исполнителю ущерб, причиненный утратой и/или повреждением (порчей) Техники, на основании двустороннего акта о недостаче/повреждении, по средним рыночным ценам, действующим на момент подписания указанного акта, с учетом естественного износа, в случае доказанности вины Арендатора в судебном порядке.</w:t>
      </w:r>
    </w:p>
    <w:p>
      <w:pPr>
        <w:spacing w:line="276" w:lineRule="auto"/>
        <w:jc w:val="both"/>
        <w:rPr>
          <w:sz w:val="24"/>
          <w:szCs w:val="24"/>
        </w:rPr>
      </w:pPr>
      <w:r>
        <w:rPr>
          <w:sz w:val="24"/>
          <w:szCs w:val="24"/>
        </w:rPr>
        <w:t>5.5. Арендодатель возмещает Арендатору упущенную выгоду и реальный ущерб, причиненный вследствие неквалифицированного оказания Арендодателем услуг по управлению и технической эксплуатации Техники.</w:t>
      </w:r>
    </w:p>
    <w:p>
      <w:pPr>
        <w:spacing w:line="276" w:lineRule="auto"/>
        <w:jc w:val="both"/>
        <w:rPr>
          <w:sz w:val="24"/>
          <w:szCs w:val="24"/>
        </w:rPr>
      </w:pPr>
      <w:r>
        <w:rPr>
          <w:sz w:val="24"/>
          <w:szCs w:val="24"/>
        </w:rPr>
        <w:t>5.6. Уплата штрафа (пени, неустойки) не освобождает Стороны от надлежащего выполнения возложенных на них настоящим договором обязательств в полном объеме.</w:t>
      </w:r>
    </w:p>
    <w:p>
      <w:pPr>
        <w:spacing w:line="276" w:lineRule="auto"/>
        <w:jc w:val="both"/>
        <w:rPr>
          <w:sz w:val="24"/>
          <w:szCs w:val="24"/>
        </w:rPr>
      </w:pPr>
      <w:r>
        <w:rPr>
          <w:sz w:val="24"/>
          <w:szCs w:val="24"/>
        </w:rPr>
        <w:t>5.7. Арендодатель несет ответственность за соблюдение правил безопасной эксплуатации техники и охраны труда на объекте, предусмотренных действующим законодательством.</w:t>
      </w:r>
    </w:p>
    <w:p>
      <w:pPr>
        <w:spacing w:line="276" w:lineRule="auto"/>
        <w:jc w:val="both"/>
        <w:rPr>
          <w:sz w:val="24"/>
          <w:szCs w:val="24"/>
        </w:rPr>
      </w:pPr>
      <w:r>
        <w:rPr>
          <w:sz w:val="24"/>
          <w:szCs w:val="24"/>
        </w:rPr>
        <w:t>5.8. Существенное условие договора: является солидарная ответственность как учредителя и генерального директора ООО «РЭКС» со стороны Арендатора, так и со стороны Арендодателя.</w:t>
      </w:r>
    </w:p>
    <w:p>
      <w:pPr>
        <w:spacing w:line="276" w:lineRule="auto"/>
        <w:jc w:val="both"/>
        <w:rPr>
          <w:sz w:val="24"/>
          <w:szCs w:val="24"/>
        </w:rPr>
      </w:pPr>
    </w:p>
    <w:p>
      <w:pPr>
        <w:jc w:val="center"/>
        <w:rPr>
          <w:b/>
          <w:sz w:val="24"/>
          <w:szCs w:val="24"/>
        </w:rPr>
      </w:pPr>
      <w:r>
        <w:rPr>
          <w:b/>
          <w:sz w:val="24"/>
          <w:szCs w:val="24"/>
        </w:rPr>
        <w:t>6. ФОРС-МАЖОР</w:t>
      </w:r>
    </w:p>
    <w:p>
      <w:pPr>
        <w:jc w:val="center"/>
        <w:rPr>
          <w:sz w:val="24"/>
          <w:szCs w:val="24"/>
        </w:rPr>
      </w:pPr>
    </w:p>
    <w:p>
      <w:pPr>
        <w:spacing w:line="290" w:lineRule="auto"/>
        <w:jc w:val="both"/>
        <w:rPr>
          <w:sz w:val="24"/>
          <w:szCs w:val="24"/>
        </w:rPr>
      </w:pPr>
      <w:r>
        <w:rPr>
          <w:sz w:val="24"/>
          <w:szCs w:val="24"/>
        </w:rPr>
        <w:t>6.1. Стороны освобождаются от ответственности за неисполнение или ненадлежащее исполнение принятых на себя по настоящему Договору обязательств, если такое неисполнение или ненадлежащее исполнение вызвано вследствие действия обстоятельств непреодолимой силы, то есть непредвиденных, непредотвратимых обстоятельств, носящих чрезвычайный характер.</w:t>
      </w:r>
    </w:p>
    <w:p>
      <w:pPr>
        <w:spacing w:line="290" w:lineRule="auto"/>
        <w:jc w:val="both"/>
        <w:rPr>
          <w:sz w:val="24"/>
          <w:szCs w:val="24"/>
        </w:rPr>
      </w:pPr>
      <w:r>
        <w:rPr>
          <w:sz w:val="24"/>
          <w:szCs w:val="24"/>
        </w:rPr>
        <w:t>6.2. Обстоятельствами непреодолимой силы признаются: стихийные бедствия (наводнения, землетрясения, оползни, смерчи, ураганы и т.п.), признанные в качестве таковых соответствующими органами гидрометеорологической службы; пожары, признанные соответствующими органами пожарной безопасности в качестве таковых; забастовки, военные действия, террористические акты, признанные органами государственной власти; и прочие события, не зависящие от воли сторон и непосредственно влияющие на исполнение настоящего договора. Изменение финансовой ситуации в Российской Федерации (дефолт, деноминация, девальвация и проч.) не признается обстоятельством непреодолимой силы.</w:t>
      </w:r>
    </w:p>
    <w:p>
      <w:pPr>
        <w:spacing w:line="290" w:lineRule="auto"/>
        <w:jc w:val="both"/>
        <w:rPr>
          <w:sz w:val="24"/>
          <w:szCs w:val="24"/>
        </w:rPr>
      </w:pPr>
      <w:r>
        <w:rPr>
          <w:sz w:val="24"/>
          <w:szCs w:val="24"/>
        </w:rPr>
        <w:t>6.3. При наступлении обстоятельств, указанных в п.6.1, сторона, для которой произошло наступление таких событий, должна немедленно (не позднее 5 дней) известить другую сторону. При отсутствии своевременного извещения виновная сторона обязана возместить другой стороне убытки, причиненные не извещением или несвоевременным извещением.</w:t>
      </w:r>
    </w:p>
    <w:p>
      <w:pPr>
        <w:spacing w:line="290" w:lineRule="auto"/>
        <w:jc w:val="both"/>
        <w:rPr>
          <w:b/>
          <w:sz w:val="24"/>
          <w:szCs w:val="24"/>
        </w:rPr>
      </w:pPr>
    </w:p>
    <w:p>
      <w:pPr>
        <w:jc w:val="center"/>
        <w:rPr>
          <w:b/>
          <w:sz w:val="24"/>
          <w:szCs w:val="24"/>
        </w:rPr>
      </w:pPr>
      <w:r>
        <w:rPr>
          <w:b/>
          <w:sz w:val="24"/>
          <w:szCs w:val="24"/>
        </w:rPr>
        <w:t>7. ПОРЯДОК РАЗРЕШЕНИЯ СПОРОВ</w:t>
      </w:r>
    </w:p>
    <w:p>
      <w:pPr>
        <w:jc w:val="center"/>
        <w:rPr>
          <w:sz w:val="24"/>
          <w:szCs w:val="24"/>
        </w:rPr>
      </w:pPr>
    </w:p>
    <w:p>
      <w:pPr>
        <w:spacing w:line="290" w:lineRule="auto"/>
        <w:jc w:val="both"/>
        <w:rPr>
          <w:sz w:val="24"/>
          <w:szCs w:val="24"/>
        </w:rPr>
      </w:pPr>
      <w:r>
        <w:rPr>
          <w:sz w:val="24"/>
          <w:szCs w:val="24"/>
        </w:rPr>
        <w:t>7.1. Все споры и разногласия между Сторонами разрешаются путем переговоров. В случае не достижения согласия, споры между Сторонами подлежат рассмотрению в Арбитражном суде по месту нахождения истца.</w:t>
      </w:r>
    </w:p>
    <w:p>
      <w:pPr>
        <w:spacing w:line="290" w:lineRule="auto"/>
        <w:jc w:val="both"/>
        <w:rPr>
          <w:sz w:val="24"/>
          <w:szCs w:val="24"/>
        </w:rPr>
      </w:pPr>
    </w:p>
    <w:p>
      <w:pPr>
        <w:jc w:val="center"/>
        <w:rPr>
          <w:b/>
          <w:sz w:val="24"/>
          <w:szCs w:val="24"/>
        </w:rPr>
      </w:pPr>
      <w:r>
        <w:rPr>
          <w:b/>
          <w:sz w:val="24"/>
          <w:szCs w:val="24"/>
        </w:rPr>
        <w:t>8. ИЗМЕНЕНИЕ, ДОПОЛНЕНИЕ И РАСТОРЖЕНИЕ ДОГОВОРА</w:t>
      </w:r>
    </w:p>
    <w:p>
      <w:pPr>
        <w:jc w:val="center"/>
        <w:rPr>
          <w:sz w:val="24"/>
          <w:szCs w:val="24"/>
        </w:rPr>
      </w:pPr>
    </w:p>
    <w:p>
      <w:pPr>
        <w:spacing w:line="290" w:lineRule="auto"/>
        <w:jc w:val="both"/>
        <w:rPr>
          <w:sz w:val="24"/>
          <w:szCs w:val="24"/>
        </w:rPr>
      </w:pPr>
      <w:r>
        <w:rPr>
          <w:sz w:val="24"/>
          <w:szCs w:val="24"/>
        </w:rPr>
        <w:t>8.1. Стороны согласились, с тем, что Договор и все приложения к данному Договору, направленные посредством электронной почты, ЭДО, имеют юридическую силу при условии последующего обмена оригиналами.</w:t>
      </w:r>
    </w:p>
    <w:p>
      <w:pPr>
        <w:spacing w:line="290" w:lineRule="auto"/>
        <w:jc w:val="both"/>
        <w:rPr>
          <w:sz w:val="24"/>
          <w:szCs w:val="24"/>
        </w:rPr>
      </w:pPr>
      <w:r>
        <w:rPr>
          <w:sz w:val="24"/>
          <w:szCs w:val="24"/>
        </w:rPr>
        <w:t>8.2. Любые изменения и дополнения к настоящему договору имеют силу только в случае, если они оформлены в письменной форме и подписаны уполномоченными представителями сторон.</w:t>
      </w:r>
    </w:p>
    <w:p>
      <w:pPr>
        <w:spacing w:line="290" w:lineRule="auto"/>
        <w:jc w:val="both"/>
        <w:rPr>
          <w:sz w:val="24"/>
          <w:szCs w:val="24"/>
        </w:rPr>
      </w:pPr>
      <w:r>
        <w:rPr>
          <w:sz w:val="24"/>
          <w:szCs w:val="24"/>
        </w:rPr>
        <w:t>8.3. Настоящий договор может быть досрочно расторгнут в случае неисполнения Сторонами обязанностей, предусмотренных настоящим договором.</w:t>
      </w:r>
    </w:p>
    <w:p>
      <w:pPr>
        <w:spacing w:line="290" w:lineRule="auto"/>
        <w:jc w:val="both"/>
        <w:rPr>
          <w:sz w:val="24"/>
          <w:szCs w:val="24"/>
        </w:rPr>
      </w:pPr>
      <w:r>
        <w:rPr>
          <w:sz w:val="24"/>
          <w:szCs w:val="24"/>
        </w:rPr>
        <w:t>8.4. Срок действия настоящего Договора с момента его заключения до 01.12.2024 г.</w:t>
      </w:r>
    </w:p>
    <w:p>
      <w:pPr>
        <w:spacing w:line="290" w:lineRule="auto"/>
        <w:jc w:val="both"/>
        <w:rPr>
          <w:sz w:val="24"/>
          <w:szCs w:val="24"/>
        </w:rPr>
      </w:pPr>
      <w:r>
        <w:rPr>
          <w:sz w:val="24"/>
          <w:szCs w:val="24"/>
        </w:rPr>
        <w:t>8.5.  Прекращение действия настоящего договора или его расторжение не освобождает Стороны от исполнения возложенных на них настоящим договором обязательств.</w:t>
      </w:r>
    </w:p>
    <w:p>
      <w:pPr>
        <w:spacing w:line="290" w:lineRule="auto"/>
        <w:jc w:val="both"/>
        <w:rPr>
          <w:sz w:val="24"/>
          <w:szCs w:val="24"/>
        </w:rPr>
      </w:pPr>
      <w:r>
        <w:rPr>
          <w:sz w:val="24"/>
          <w:szCs w:val="24"/>
        </w:rPr>
        <w:t>8.6. Приложения к настоящему Договору:</w:t>
      </w:r>
    </w:p>
    <w:p>
      <w:pPr>
        <w:spacing w:line="290" w:lineRule="auto"/>
        <w:jc w:val="both"/>
        <w:rPr>
          <w:sz w:val="24"/>
          <w:szCs w:val="24"/>
        </w:rPr>
      </w:pPr>
      <w:r>
        <w:rPr>
          <w:sz w:val="24"/>
          <w:szCs w:val="24"/>
        </w:rPr>
        <w:t>Приложение №1 – «СПЕЦИФИКАЦИЯ».</w:t>
      </w:r>
    </w:p>
    <w:p>
      <w:pPr>
        <w:spacing w:line="290" w:lineRule="auto"/>
        <w:jc w:val="both"/>
        <w:rPr>
          <w:sz w:val="24"/>
          <w:szCs w:val="24"/>
        </w:rPr>
      </w:pPr>
    </w:p>
    <w:p>
      <w:pPr>
        <w:shd w:val="clear" w:color="auto" w:fill="FFFFFF"/>
        <w:autoSpaceDE w:val="0"/>
        <w:autoSpaceDN w:val="0"/>
        <w:adjustRightInd w:val="0"/>
        <w:jc w:val="center"/>
        <w:rPr>
          <w:b/>
          <w:bCs/>
          <w:color w:val="000000"/>
          <w:sz w:val="24"/>
          <w:szCs w:val="24"/>
        </w:rPr>
      </w:pPr>
      <w:r>
        <w:rPr>
          <w:b/>
          <w:bCs/>
          <w:sz w:val="24"/>
          <w:szCs w:val="24"/>
        </w:rPr>
        <w:t>9. АДРЕСА И БАНКОВСКИЕ РЕКВИЗИТЫ</w:t>
      </w:r>
      <w:r>
        <w:rPr>
          <w:b/>
          <w:bCs/>
          <w:color w:val="000000"/>
          <w:sz w:val="24"/>
          <w:szCs w:val="24"/>
        </w:rPr>
        <w:t xml:space="preserve"> СТОРОН</w:t>
      </w:r>
    </w:p>
    <w:tbl>
      <w:tblPr>
        <w:tblStyle w:val="5"/>
        <w:tblW w:w="968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4"/>
        <w:gridCol w:w="5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3" w:hRule="atLeast"/>
        </w:trPr>
        <w:tc>
          <w:tcPr>
            <w:tcW w:w="4634" w:type="dxa"/>
            <w:noWrap w:val="0"/>
            <w:vAlign w:val="top"/>
          </w:tcPr>
          <w:p>
            <w:pPr>
              <w:pStyle w:val="21"/>
              <w:jc w:val="both"/>
              <w:rPr>
                <w:rFonts w:ascii="Times New Roman" w:hAnsi="Times New Roman" w:cs="Times New Roman"/>
                <w:b/>
                <w:bCs/>
                <w:sz w:val="24"/>
                <w:szCs w:val="24"/>
              </w:rPr>
            </w:pPr>
            <w:bookmarkStart w:id="1" w:name="_Hlk163643081"/>
            <w:r>
              <w:rPr>
                <w:rFonts w:ascii="Times New Roman" w:hAnsi="Times New Roman" w:cs="Times New Roman"/>
                <w:b/>
                <w:bCs/>
                <w:sz w:val="24"/>
                <w:szCs w:val="24"/>
              </w:rPr>
              <w:t>Арендатор:</w:t>
            </w:r>
          </w:p>
          <w:p>
            <w:pPr>
              <w:widowControl w:val="0"/>
              <w:suppressAutoHyphens/>
              <w:bidi w:val="0"/>
              <w:spacing w:before="0" w:after="0"/>
              <w:ind w:left="0" w:right="0" w:firstLine="0"/>
              <w:rPr>
                <w:rFonts w:ascii="Times New Roman" w:hAnsi="Times New Roman"/>
                <w:b/>
                <w:color w:val="00A933"/>
                <w:shd w:val="clear" w:fill="auto"/>
                <w:lang w:val="en-US" w:eastAsia="ar-SA"/>
              </w:rPr>
            </w:pPr>
            <w:r>
              <w:rPr>
                <w:rFonts w:ascii="Times New Roman" w:hAnsi="Times New Roman"/>
                <w:b/>
                <w:color w:val="00A933"/>
                <w:shd w:val="clear" w:fill="auto"/>
                <w:lang w:val="en-US" w:eastAsia="ar-SA"/>
              </w:rPr>
              <w:t xml:space="preserve">Юридический адрес: 123876, Россия, г. Краснодар, ул. Белуги, 101, ИНН/КПП 8108018737/810707007 ОГРН 7779102008588 Р/с № 40702810840130077888 в УРАЛ БАНК (ПАО) Корр.счет 30101810335100077777 БИК 055510888 Тел.: +79881110001 e-mail: krasnodar@mail.ru</w:t>
              <w:br/>
              <w:t xml:space="preserve"/>
            </w:r>
          </w:p>
          <w:p>
            <w:pPr>
              <w:widowControl w:val="0"/>
              <w:suppressAutoHyphens/>
              <w:bidi w:val="0"/>
              <w:spacing w:before="0" w:after="0"/>
              <w:ind w:left="0" w:right="0" w:firstLine="0"/>
              <w:rPr>
                <w:rFonts w:ascii="Times New Roman" w:hAnsi="Times New Roman"/>
                <w:b/>
                <w:color w:val="00A933"/>
                <w:shd w:val="clear" w:fill="auto"/>
                <w:lang w:val="en-US" w:eastAsia="ar-SA"/>
              </w:rPr>
            </w:pPr>
          </w:p>
          <w:p>
            <w:pPr>
              <w:widowControl w:val="0"/>
              <w:bidi w:val="0"/>
              <w:spacing w:before="0" w:after="0"/>
              <w:ind w:left="0" w:right="0" w:firstLine="0"/>
              <w:rPr>
                <w:color w:val="00A933"/>
              </w:rPr>
            </w:pPr>
            <w:r>
              <w:rPr>
                <w:rFonts w:ascii="Times New Roman" w:hAnsi="Times New Roman"/>
                <w:b/>
                <w:color w:val="00A933"/>
                <w:shd w:val="clear" w:fill="auto"/>
              </w:rPr>
              <w:t xml:space="preserve">Генеральный директор</w:t>
              <w:br/>
              <w:t xml:space="preserve"/>
            </w: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r>
              <w:rPr>
                <w:rFonts w:ascii="Times New Roman" w:hAnsi="Times New Roman" w:cs="Times New Roman"/>
                <w:sz w:val="24"/>
                <w:szCs w:val="24"/>
              </w:rPr>
              <w:t>__________________/</w:t>
            </w:r>
            <w:r>
              <w:rPr>
                <w:rFonts w:ascii="Times New Roman" w:hAnsi="Times New Roman"/>
                <w:b/>
                <w:color w:val="00A933"/>
                <w:shd w:val="clear" w:fill="auto"/>
                <w:lang w:eastAsia="ar-SA"/>
              </w:rPr>
              <w:t xml:space="preserve">С.С. Макарова</w:t>
              <w:br/>
              <w:t xml:space="preserve"/>
            </w:r>
            <w:r>
              <w:rPr>
                <w:rFonts w:ascii="Times New Roman" w:hAnsi="Times New Roman" w:cs="Times New Roman"/>
                <w:bCs/>
                <w:sz w:val="24"/>
                <w:szCs w:val="24"/>
              </w:rPr>
              <w:t>/</w:t>
            </w: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r>
              <w:rPr>
                <w:rFonts w:ascii="Times New Roman" w:hAnsi="Times New Roman" w:cs="Times New Roman"/>
                <w:sz w:val="24"/>
                <w:szCs w:val="24"/>
              </w:rPr>
              <w:t>М.П.</w:t>
            </w:r>
          </w:p>
        </w:tc>
        <w:tc>
          <w:tcPr>
            <w:tcW w:w="5049" w:type="dxa"/>
            <w:noWrap w:val="0"/>
            <w:vAlign w:val="top"/>
          </w:tcPr>
          <w:p>
            <w:pPr>
              <w:jc w:val="both"/>
              <w:rPr>
                <w:b/>
                <w:bCs/>
                <w:sz w:val="24"/>
                <w:szCs w:val="24"/>
              </w:rPr>
            </w:pPr>
            <w:r>
              <w:rPr>
                <w:b/>
                <w:bCs/>
                <w:sz w:val="24"/>
                <w:szCs w:val="24"/>
              </w:rPr>
              <w:t>Арендодатель:</w:t>
            </w:r>
          </w:p>
          <w:p>
            <w:pPr>
              <w:pStyle w:val="21"/>
              <w:jc w:val="both"/>
              <w:rPr>
                <w:rFonts w:ascii="Times New Roman" w:hAnsi="Times New Roman" w:cs="Times New Roman"/>
                <w:b/>
                <w:bCs/>
                <w:sz w:val="22"/>
                <w:szCs w:val="22"/>
              </w:rPr>
            </w:pPr>
            <w:r>
              <w:rPr>
                <w:rFonts w:ascii="Times New Roman" w:hAnsi="Times New Roman" w:cs="Times New Roman"/>
                <w:b/>
                <w:bCs/>
                <w:sz w:val="22"/>
                <w:szCs w:val="22"/>
              </w:rPr>
              <w:t>Шерварлы Вячеслав Владимирович (ИП)</w:t>
            </w:r>
          </w:p>
          <w:p>
            <w:pPr>
              <w:pStyle w:val="39"/>
              <w:jc w:val="both"/>
              <w:rPr>
                <w:rFonts w:eastAsia="Calibri"/>
                <w:sz w:val="22"/>
                <w:szCs w:val="22"/>
                <w:lang w:eastAsia="en-US"/>
              </w:rPr>
            </w:pPr>
            <w:r>
              <w:rPr>
                <w:sz w:val="22"/>
                <w:szCs w:val="22"/>
              </w:rPr>
              <w:t>Юридический и почтовый адрес</w:t>
            </w:r>
            <w:r>
              <w:rPr>
                <w:rFonts w:eastAsia="Calibri"/>
                <w:sz w:val="22"/>
                <w:szCs w:val="22"/>
                <w:lang w:eastAsia="en-US"/>
              </w:rPr>
              <w:t xml:space="preserve">: </w:t>
            </w:r>
          </w:p>
          <w:p>
            <w:pPr>
              <w:spacing w:line="360" w:lineRule="auto"/>
              <w:rPr>
                <w:sz w:val="22"/>
                <w:szCs w:val="22"/>
              </w:rPr>
            </w:pPr>
            <w:r>
              <w:rPr>
                <w:sz w:val="22"/>
                <w:szCs w:val="22"/>
              </w:rPr>
              <w:t>297503, Республика Крым, Симферопольский район, с. Мирное, СПК Дзержинец, ул. Соколова, д.31</w:t>
            </w:r>
          </w:p>
          <w:p>
            <w:pPr>
              <w:pStyle w:val="39"/>
              <w:jc w:val="both"/>
              <w:rPr>
                <w:rFonts w:eastAsia="Calibri"/>
                <w:sz w:val="22"/>
                <w:szCs w:val="22"/>
                <w:lang w:eastAsia="en-US"/>
              </w:rPr>
            </w:pPr>
          </w:p>
          <w:p>
            <w:pPr>
              <w:pStyle w:val="39"/>
              <w:jc w:val="both"/>
              <w:rPr>
                <w:rFonts w:eastAsia="Calibri"/>
                <w:sz w:val="22"/>
                <w:szCs w:val="22"/>
                <w:lang w:eastAsia="en-US"/>
              </w:rPr>
            </w:pPr>
            <w:r>
              <w:rPr>
                <w:rFonts w:eastAsia="Calibri"/>
                <w:sz w:val="22"/>
                <w:szCs w:val="22"/>
                <w:lang w:eastAsia="en-US"/>
              </w:rPr>
              <w:t xml:space="preserve">ИНН: </w:t>
            </w:r>
            <w:r>
              <w:rPr>
                <w:sz w:val="22"/>
                <w:szCs w:val="22"/>
              </w:rPr>
              <w:t>910230371339</w:t>
            </w:r>
          </w:p>
          <w:p>
            <w:pPr>
              <w:jc w:val="both"/>
              <w:rPr>
                <w:rFonts w:eastAsia="Calibri"/>
                <w:sz w:val="22"/>
                <w:szCs w:val="22"/>
                <w:lang w:eastAsia="en-US"/>
              </w:rPr>
            </w:pPr>
            <w:r>
              <w:rPr>
                <w:rFonts w:eastAsia="Calibri"/>
                <w:sz w:val="22"/>
                <w:szCs w:val="22"/>
                <w:lang w:eastAsia="en-US"/>
              </w:rPr>
              <w:t xml:space="preserve">ОГРНИП: </w:t>
            </w:r>
            <w:r>
              <w:rPr>
                <w:sz w:val="22"/>
                <w:szCs w:val="22"/>
              </w:rPr>
              <w:t>318910200046058</w:t>
            </w:r>
          </w:p>
          <w:p>
            <w:pPr>
              <w:rPr>
                <w:sz w:val="22"/>
                <w:szCs w:val="22"/>
              </w:rPr>
            </w:pPr>
            <w:r>
              <w:rPr>
                <w:sz w:val="22"/>
                <w:szCs w:val="22"/>
              </w:rPr>
              <w:t>Р/с: 40802810707130000322</w:t>
            </w:r>
          </w:p>
          <w:p>
            <w:pPr>
              <w:rPr>
                <w:sz w:val="22"/>
                <w:szCs w:val="22"/>
              </w:rPr>
            </w:pPr>
            <w:r>
              <w:rPr>
                <w:sz w:val="22"/>
                <w:szCs w:val="22"/>
              </w:rPr>
              <w:t>Банк: АО «ГЕНБАНК»</w:t>
            </w:r>
          </w:p>
          <w:p>
            <w:pPr>
              <w:rPr>
                <w:sz w:val="22"/>
                <w:szCs w:val="22"/>
              </w:rPr>
            </w:pPr>
            <w:r>
              <w:rPr>
                <w:sz w:val="22"/>
                <w:szCs w:val="22"/>
              </w:rPr>
              <w:t>К/с: 30101810835100000123</w:t>
            </w:r>
          </w:p>
          <w:p>
            <w:pPr>
              <w:jc w:val="both"/>
              <w:rPr>
                <w:sz w:val="22"/>
                <w:szCs w:val="22"/>
              </w:rPr>
            </w:pPr>
            <w:r>
              <w:rPr>
                <w:sz w:val="22"/>
                <w:szCs w:val="22"/>
              </w:rPr>
              <w:t>БИК: 043510123</w:t>
            </w:r>
          </w:p>
          <w:p>
            <w:pPr>
              <w:pStyle w:val="21"/>
              <w:jc w:val="both"/>
              <w:rPr>
                <w:rFonts w:ascii="Times New Roman" w:hAnsi="Times New Roman" w:cs="Times New Roman"/>
                <w:sz w:val="22"/>
                <w:szCs w:val="22"/>
              </w:rPr>
            </w:pPr>
          </w:p>
          <w:p>
            <w:pPr>
              <w:jc w:val="both"/>
              <w:rPr>
                <w:sz w:val="22"/>
                <w:szCs w:val="22"/>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lang w:val="en-US"/>
              </w:rPr>
              <w:t>_</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lang w:val="en-US"/>
              </w:rPr>
            </w:pPr>
            <w:r>
              <w:rPr>
                <w:sz w:val="24"/>
                <w:szCs w:val="24"/>
                <w:lang w:val="en-US"/>
              </w:rPr>
              <w:t>_________________/</w:t>
            </w:r>
            <w:r>
              <w:rPr>
                <w:b/>
                <w:bCs/>
                <w:sz w:val="24"/>
                <w:szCs w:val="24"/>
              </w:rPr>
              <w:t xml:space="preserve"> Шерварлы В.В.</w:t>
            </w:r>
            <w:r>
              <w:rPr>
                <w:sz w:val="24"/>
                <w:szCs w:val="24"/>
                <w:lang w:val="en-US"/>
              </w:rPr>
              <w:t xml:space="preserve"> /</w:t>
            </w:r>
          </w:p>
          <w:p>
            <w:pPr>
              <w:jc w:val="both"/>
              <w:rPr>
                <w:sz w:val="24"/>
                <w:szCs w:val="24"/>
              </w:rPr>
            </w:pPr>
          </w:p>
          <w:p>
            <w:pPr>
              <w:jc w:val="both"/>
              <w:rPr>
                <w:sz w:val="24"/>
                <w:szCs w:val="24"/>
              </w:rPr>
            </w:pPr>
            <w:r>
              <w:rPr>
                <w:sz w:val="24"/>
                <w:szCs w:val="24"/>
              </w:rPr>
              <w:t>МП</w:t>
            </w:r>
          </w:p>
        </w:tc>
      </w:tr>
    </w:tbl>
    <w:p>
      <w:pPr>
        <w:shd w:val="clear" w:color="auto" w:fill="FFFFFF"/>
        <w:autoSpaceDE w:val="0"/>
        <w:autoSpaceDN w:val="0"/>
        <w:adjustRightInd w:val="0"/>
        <w:jc w:val="center"/>
        <w:rPr>
          <w:b/>
          <w:bCs/>
          <w:color w:val="000000"/>
          <w:sz w:val="24"/>
          <w:szCs w:val="24"/>
        </w:rPr>
      </w:pPr>
    </w:p>
    <w:p>
      <w:pPr>
        <w:shd w:val="clear" w:color="auto" w:fill="FFFFFF"/>
        <w:autoSpaceDE w:val="0"/>
        <w:autoSpaceDN w:val="0"/>
        <w:adjustRightInd w:val="0"/>
        <w:jc w:val="center"/>
        <w:rPr>
          <w:b/>
          <w:bCs/>
          <w:color w:val="000000"/>
          <w:sz w:val="24"/>
          <w:szCs w:val="24"/>
        </w:rPr>
      </w:pPr>
    </w:p>
    <w:p>
      <w:pPr>
        <w:shd w:val="clear" w:color="auto" w:fill="FFFFFF"/>
        <w:autoSpaceDE w:val="0"/>
        <w:autoSpaceDN w:val="0"/>
        <w:adjustRightInd w:val="0"/>
        <w:rPr>
          <w:b/>
          <w:bCs/>
          <w:color w:val="000000"/>
          <w:sz w:val="24"/>
          <w:szCs w:val="24"/>
        </w:rPr>
      </w:pPr>
    </w:p>
    <w:p>
      <w:pPr>
        <w:shd w:val="clear" w:color="auto" w:fill="FFFFFF"/>
        <w:autoSpaceDE w:val="0"/>
        <w:autoSpaceDN w:val="0"/>
        <w:adjustRightInd w:val="0"/>
        <w:jc w:val="center"/>
        <w:rPr>
          <w:b/>
          <w:bCs/>
          <w:color w:val="000000"/>
          <w:sz w:val="24"/>
          <w:szCs w:val="24"/>
        </w:rPr>
      </w:pPr>
    </w:p>
    <w:p>
      <w:pPr>
        <w:shd w:val="clear" w:color="auto" w:fill="FFFFFF"/>
        <w:autoSpaceDE w:val="0"/>
        <w:autoSpaceDN w:val="0"/>
        <w:adjustRightInd w:val="0"/>
        <w:jc w:val="both"/>
        <w:rPr>
          <w:sz w:val="22"/>
          <w:szCs w:val="22"/>
        </w:rPr>
      </w:pPr>
    </w:p>
    <w:p>
      <w:pPr>
        <w:shd w:val="clear" w:color="auto" w:fill="FFFFFF"/>
        <w:autoSpaceDE w:val="0"/>
        <w:autoSpaceDN w:val="0"/>
        <w:adjustRightInd w:val="0"/>
        <w:jc w:val="right"/>
        <w:rPr>
          <w:b/>
          <w:sz w:val="22"/>
          <w:szCs w:val="22"/>
        </w:rPr>
      </w:pPr>
      <w:r>
        <w:rPr>
          <w:sz w:val="22"/>
          <w:szCs w:val="22"/>
        </w:rPr>
        <w:br w:type="page"/>
      </w:r>
      <w:r>
        <w:rPr>
          <w:b/>
          <w:sz w:val="22"/>
          <w:szCs w:val="22"/>
        </w:rPr>
        <w:t xml:space="preserve">Приложение №1 </w:t>
      </w:r>
    </w:p>
    <w:p>
      <w:pPr>
        <w:shd w:val="clear" w:color="auto" w:fill="FFFFFF"/>
        <w:autoSpaceDE w:val="0"/>
        <w:autoSpaceDN w:val="0"/>
        <w:adjustRightInd w:val="0"/>
        <w:jc w:val="right"/>
        <w:rPr>
          <w:sz w:val="22"/>
          <w:szCs w:val="22"/>
        </w:rPr>
      </w:pPr>
      <w:r>
        <w:rPr>
          <w:sz w:val="22"/>
          <w:szCs w:val="22"/>
        </w:rPr>
        <w:t xml:space="preserve">к Договору аренды </w:t>
      </w:r>
    </w:p>
    <w:p>
      <w:pPr>
        <w:shd w:val="clear" w:color="auto" w:fill="FFFFFF"/>
        <w:autoSpaceDE w:val="0"/>
        <w:autoSpaceDN w:val="0"/>
        <w:adjustRightInd w:val="0"/>
        <w:jc w:val="right"/>
        <w:rPr>
          <w:sz w:val="22"/>
          <w:szCs w:val="22"/>
        </w:rPr>
      </w:pPr>
      <w:r>
        <w:rPr>
          <w:sz w:val="22"/>
          <w:szCs w:val="22"/>
        </w:rPr>
        <w:t xml:space="preserve"> специализированной техники </w:t>
      </w:r>
    </w:p>
    <w:p>
      <w:pPr>
        <w:shd w:val="clear" w:color="auto" w:fill="FFFFFF"/>
        <w:autoSpaceDE w:val="0"/>
        <w:autoSpaceDN w:val="0"/>
        <w:adjustRightInd w:val="0"/>
        <w:jc w:val="right"/>
        <w:rPr>
          <w:sz w:val="22"/>
          <w:szCs w:val="22"/>
        </w:rPr>
      </w:pPr>
      <w:r>
        <w:rPr>
          <w:sz w:val="22"/>
          <w:szCs w:val="22"/>
        </w:rPr>
        <w:t>(с экипажем)</w:t>
      </w:r>
    </w:p>
    <w:p>
      <w:pPr>
        <w:shd w:val="clear" w:color="auto" w:fill="FFFFFF"/>
        <w:autoSpaceDE w:val="0"/>
        <w:autoSpaceDN w:val="0"/>
        <w:adjustRightInd w:val="0"/>
        <w:jc w:val="right"/>
        <w:rPr>
          <w:sz w:val="22"/>
          <w:szCs w:val="22"/>
        </w:rPr>
      </w:pPr>
      <w:r>
        <w:rPr>
          <w:rFonts w:ascii="Times New Roman" w:hAnsi="Times New Roman"/>
          <w:b/>
          <w:color w:val="00A933"/>
          <w:shd w:val="clear" w:fill="auto"/>
          <w:lang w:eastAsia="ar-SA"/>
        </w:rPr>
        <w:t xml:space="preserve">123</w:t>
      </w:r>
    </w:p>
    <w:p>
      <w:pPr>
        <w:jc w:val="both"/>
        <w:rPr>
          <w:sz w:val="22"/>
          <w:szCs w:val="22"/>
        </w:rPr>
      </w:pPr>
      <w:r>
        <w:rPr>
          <w:rFonts w:hint="default" w:ascii="Times New Roman" w:hAnsi="Times New Roman"/>
          <w:b/>
          <w:bCs/>
          <w:color w:val="00A933"/>
          <w:spacing w:val="-2"/>
          <w:shd w:val="clear" w:fill="auto"/>
          <w:lang w:val="en-US" w:eastAsia="en-US"/>
        </w:rPr>
        <w:t xml:space="preserve">г. Краснодар</w:t>
        <w:br/>
        <w:t xml:space="preserve"> </w:t>
      </w:r>
      <w:r>
        <w:rPr>
          <w:sz w:val="22"/>
          <w:szCs w:val="22"/>
        </w:rPr>
        <w:t xml:space="preserve">                                                                                         </w:t>
      </w:r>
      <w:r>
        <w:rPr>
          <w:sz w:val="22"/>
          <w:szCs w:val="22"/>
        </w:rPr>
        <w:tab/>
      </w:r>
    </w:p>
    <w:p/>
    <w:p>
      <w:pPr>
        <w:jc w:val="center"/>
        <w:rPr>
          <w:b/>
          <w:sz w:val="22"/>
          <w:szCs w:val="22"/>
        </w:rPr>
      </w:pPr>
      <w:r>
        <w:rPr>
          <w:b/>
          <w:sz w:val="22"/>
          <w:szCs w:val="22"/>
        </w:rPr>
        <w:t>СПЕЦИФИКАЦИЯ</w:t>
      </w:r>
    </w:p>
    <w:p>
      <w:pPr>
        <w:jc w:val="center"/>
        <w:rPr>
          <w:b/>
          <w:sz w:val="22"/>
          <w:szCs w:val="22"/>
        </w:rPr>
      </w:pPr>
    </w:p>
    <w:p>
      <w:pPr>
        <w:jc w:val="center"/>
        <w:rPr>
          <w:b/>
          <w:sz w:val="22"/>
          <w:szCs w:val="22"/>
        </w:rPr>
      </w:pPr>
    </w:p>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69"/>
        <w:gridCol w:w="2527"/>
        <w:gridCol w:w="1081"/>
        <w:gridCol w:w="1560"/>
        <w:gridCol w:w="1984"/>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tcPr>
            <w:tcW w:w="469" w:type="dxa"/>
            <w:noWrap w:val="0"/>
            <w:vAlign w:val="top"/>
          </w:tcPr>
          <w:p>
            <w:pPr>
              <w:tabs>
                <w:tab w:val="center" w:pos="4153"/>
                <w:tab w:val="right" w:pos="8306"/>
              </w:tabs>
              <w:rPr>
                <w:b/>
                <w:sz w:val="22"/>
                <w:szCs w:val="22"/>
              </w:rPr>
            </w:pPr>
            <w:r>
              <w:rPr>
                <w:b/>
                <w:sz w:val="22"/>
                <w:szCs w:val="22"/>
              </w:rPr>
              <w:t>№</w:t>
            </w:r>
          </w:p>
        </w:tc>
        <w:tc>
          <w:tcPr>
            <w:tcW w:w="2527" w:type="dxa"/>
            <w:noWrap w:val="0"/>
            <w:vAlign w:val="top"/>
          </w:tcPr>
          <w:p>
            <w:pPr>
              <w:tabs>
                <w:tab w:val="center" w:pos="4153"/>
                <w:tab w:val="right" w:pos="8306"/>
              </w:tabs>
              <w:rPr>
                <w:b/>
                <w:sz w:val="22"/>
                <w:szCs w:val="22"/>
              </w:rPr>
            </w:pPr>
            <w:r>
              <w:rPr>
                <w:b/>
                <w:sz w:val="22"/>
                <w:szCs w:val="22"/>
              </w:rPr>
              <w:t>Наименование</w:t>
            </w:r>
          </w:p>
        </w:tc>
        <w:tc>
          <w:tcPr>
            <w:tcW w:w="1081" w:type="dxa"/>
            <w:noWrap w:val="0"/>
            <w:vAlign w:val="top"/>
          </w:tcPr>
          <w:p>
            <w:pPr>
              <w:tabs>
                <w:tab w:val="center" w:pos="4153"/>
                <w:tab w:val="right" w:pos="8306"/>
              </w:tabs>
              <w:rPr>
                <w:b/>
                <w:sz w:val="22"/>
                <w:szCs w:val="22"/>
              </w:rPr>
            </w:pPr>
            <w:r>
              <w:rPr>
                <w:b/>
                <w:sz w:val="22"/>
                <w:szCs w:val="22"/>
              </w:rPr>
              <w:t>Ед. изм.</w:t>
            </w:r>
          </w:p>
        </w:tc>
        <w:tc>
          <w:tcPr>
            <w:tcW w:w="1560" w:type="dxa"/>
            <w:noWrap w:val="0"/>
            <w:vAlign w:val="top"/>
          </w:tcPr>
          <w:p>
            <w:pPr>
              <w:tabs>
                <w:tab w:val="center" w:pos="4153"/>
                <w:tab w:val="right" w:pos="8306"/>
              </w:tabs>
              <w:rPr>
                <w:b/>
                <w:sz w:val="22"/>
                <w:szCs w:val="22"/>
              </w:rPr>
            </w:pPr>
            <w:r>
              <w:rPr>
                <w:b/>
                <w:sz w:val="22"/>
                <w:szCs w:val="22"/>
              </w:rPr>
              <w:t>Количество часов</w:t>
            </w:r>
          </w:p>
        </w:tc>
        <w:tc>
          <w:tcPr>
            <w:tcW w:w="1984" w:type="dxa"/>
            <w:noWrap w:val="0"/>
            <w:vAlign w:val="top"/>
          </w:tcPr>
          <w:p>
            <w:pPr>
              <w:tabs>
                <w:tab w:val="center" w:pos="4153"/>
                <w:tab w:val="right" w:pos="8306"/>
              </w:tabs>
              <w:rPr>
                <w:b/>
                <w:sz w:val="22"/>
                <w:szCs w:val="22"/>
              </w:rPr>
            </w:pPr>
            <w:r>
              <w:rPr>
                <w:b/>
                <w:sz w:val="22"/>
                <w:szCs w:val="22"/>
              </w:rPr>
              <w:t xml:space="preserve">Цена в рублях </w:t>
            </w:r>
          </w:p>
        </w:tc>
        <w:tc>
          <w:tcPr>
            <w:tcW w:w="2268" w:type="dxa"/>
            <w:noWrap w:val="0"/>
            <w:vAlign w:val="top"/>
          </w:tcPr>
          <w:p>
            <w:pPr>
              <w:tabs>
                <w:tab w:val="center" w:pos="4153"/>
                <w:tab w:val="right" w:pos="8306"/>
              </w:tabs>
              <w:rPr>
                <w:b/>
                <w:sz w:val="22"/>
                <w:szCs w:val="22"/>
              </w:rPr>
            </w:pPr>
            <w:r>
              <w:rPr>
                <w:b/>
                <w:sz w:val="22"/>
                <w:szCs w:val="22"/>
              </w:rPr>
              <w:t>Стоимость в рублях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 w:type="dxa"/>
            <w:noWrap w:val="0"/>
            <w:vAlign w:val="top"/>
          </w:tcPr>
          <w:p>
            <w:pPr>
              <w:tabs>
                <w:tab w:val="center" w:pos="4153"/>
                <w:tab w:val="right" w:pos="8306"/>
              </w:tabs>
              <w:rPr>
                <w:sz w:val="22"/>
                <w:szCs w:val="22"/>
              </w:rPr>
            </w:pPr>
            <w:r>
              <w:rPr>
                <w:sz w:val="22"/>
                <w:szCs w:val="22"/>
              </w:rPr>
              <w:t>1</w:t>
            </w:r>
          </w:p>
        </w:tc>
        <w:tc>
          <w:tcPr>
            <w:tcW w:w="2527" w:type="dxa"/>
            <w:noWrap w:val="0"/>
            <w:vAlign w:val="top"/>
          </w:tcPr>
          <w:p>
            <w:pPr>
              <w:tabs>
                <w:tab w:val="center" w:pos="4153"/>
                <w:tab w:val="right" w:pos="8306"/>
              </w:tabs>
              <w:rPr>
                <w:sz w:val="22"/>
                <w:szCs w:val="22"/>
              </w:rPr>
            </w:pPr>
            <w:r>
              <w:rPr>
                <w:sz w:val="22"/>
                <w:szCs w:val="22"/>
              </w:rPr>
              <w:t>Услуги автобетононасоса (</w:t>
            </w:r>
            <w:r>
              <w:rPr>
                <w:sz w:val="22"/>
                <w:szCs w:val="22"/>
                <w:lang w:val="en-US"/>
              </w:rPr>
              <w:t>L32-42</w:t>
            </w:r>
            <w:r>
              <w:rPr>
                <w:sz w:val="22"/>
                <w:szCs w:val="22"/>
              </w:rPr>
              <w:t>м)</w:t>
            </w:r>
          </w:p>
        </w:tc>
        <w:tc>
          <w:tcPr>
            <w:tcW w:w="1081" w:type="dxa"/>
            <w:noWrap w:val="0"/>
            <w:vAlign w:val="top"/>
          </w:tcPr>
          <w:p>
            <w:pPr>
              <w:tabs>
                <w:tab w:val="center" w:pos="4153"/>
                <w:tab w:val="right" w:pos="8306"/>
              </w:tabs>
              <w:rPr>
                <w:sz w:val="22"/>
                <w:szCs w:val="22"/>
              </w:rPr>
            </w:pPr>
            <w:r>
              <w:rPr>
                <w:sz w:val="22"/>
                <w:szCs w:val="22"/>
              </w:rPr>
              <w:t>час</w:t>
            </w:r>
          </w:p>
        </w:tc>
        <w:tc>
          <w:tcPr>
            <w:tcW w:w="1560" w:type="dxa"/>
            <w:noWrap w:val="0"/>
            <w:vAlign w:val="top"/>
          </w:tcPr>
          <w:p>
            <w:pPr>
              <w:tabs>
                <w:tab w:val="center" w:pos="4153"/>
                <w:tab w:val="right" w:pos="8306"/>
              </w:tabs>
              <w:rPr>
                <w:sz w:val="22"/>
                <w:szCs w:val="22"/>
              </w:rPr>
            </w:pPr>
            <w:r>
              <w:rPr>
                <w:sz w:val="22"/>
                <w:szCs w:val="22"/>
              </w:rPr>
              <w:t>50</w:t>
            </w:r>
          </w:p>
        </w:tc>
        <w:tc>
          <w:tcPr>
            <w:tcW w:w="1984" w:type="dxa"/>
            <w:noWrap w:val="0"/>
            <w:vAlign w:val="top"/>
          </w:tcPr>
          <w:p>
            <w:pPr>
              <w:tabs>
                <w:tab w:val="center" w:pos="4153"/>
                <w:tab w:val="right" w:pos="8306"/>
              </w:tabs>
              <w:rPr>
                <w:sz w:val="22"/>
                <w:szCs w:val="22"/>
              </w:rPr>
            </w:pPr>
            <w:r>
              <w:rPr>
                <w:sz w:val="22"/>
                <w:szCs w:val="22"/>
              </w:rPr>
              <w:t>10 000,00</w:t>
            </w:r>
          </w:p>
        </w:tc>
        <w:tc>
          <w:tcPr>
            <w:tcW w:w="2268" w:type="dxa"/>
            <w:noWrap w:val="0"/>
            <w:vAlign w:val="top"/>
          </w:tcPr>
          <w:p>
            <w:pPr>
              <w:tabs>
                <w:tab w:val="center" w:pos="4153"/>
                <w:tab w:val="right" w:pos="8306"/>
              </w:tabs>
              <w:rPr>
                <w:sz w:val="22"/>
                <w:szCs w:val="22"/>
              </w:rPr>
            </w:pPr>
            <w:r>
              <w:rPr>
                <w:sz w:val="22"/>
                <w:szCs w:val="22"/>
              </w:rPr>
              <w:t>500 000,00</w:t>
            </w:r>
          </w:p>
        </w:tc>
      </w:tr>
    </w:tbl>
    <w:p>
      <w:pPr>
        <w:jc w:val="both"/>
        <w:rPr>
          <w:b/>
          <w:sz w:val="22"/>
          <w:szCs w:val="22"/>
        </w:rPr>
      </w:pPr>
    </w:p>
    <w:p>
      <w:pPr>
        <w:jc w:val="both"/>
        <w:rPr>
          <w:b/>
          <w:sz w:val="22"/>
          <w:szCs w:val="22"/>
        </w:rPr>
      </w:pPr>
      <w:r>
        <w:rPr>
          <w:b/>
          <w:sz w:val="22"/>
          <w:szCs w:val="22"/>
        </w:rPr>
        <w:t xml:space="preserve">Итого стоимость по Спецификации составляет: </w:t>
      </w:r>
      <w:r>
        <w:rPr>
          <w:rFonts w:ascii="Times New Roman" w:hAnsi="Times New Roman"/>
          <w:color w:val="00A933"/>
          <w:shd w:val="clear" w:fill="auto"/>
          <w:lang w:eastAsia="ar-SA"/>
        </w:rPr>
        <w:t xml:space="preserve">196500.50</w:t>
      </w:r>
      <w:r>
        <w:rPr>
          <w:b/>
          <w:sz w:val="22"/>
          <w:szCs w:val="22"/>
        </w:rPr>
        <w:t>.</w:t>
      </w:r>
    </w:p>
    <w:p>
      <w:pPr>
        <w:jc w:val="both"/>
        <w:rPr>
          <w:b/>
          <w:sz w:val="22"/>
          <w:szCs w:val="22"/>
        </w:rPr>
      </w:pPr>
    </w:p>
    <w:tbl>
      <w:tblPr>
        <w:tblStyle w:val="5"/>
        <w:tblW w:w="968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4"/>
        <w:gridCol w:w="5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1" w:hRule="atLeast"/>
        </w:trPr>
        <w:tc>
          <w:tcPr>
            <w:tcW w:w="4634" w:type="dxa"/>
            <w:noWrap w:val="0"/>
            <w:vAlign w:val="top"/>
          </w:tcPr>
          <w:p>
            <w:pPr>
              <w:pStyle w:val="21"/>
              <w:jc w:val="both"/>
              <w:rPr>
                <w:rFonts w:ascii="Times New Roman" w:hAnsi="Times New Roman" w:cs="Times New Roman"/>
                <w:b/>
                <w:bCs/>
                <w:sz w:val="24"/>
                <w:szCs w:val="24"/>
              </w:rPr>
            </w:pPr>
            <w:r>
              <w:rPr>
                <w:rFonts w:ascii="Times New Roman" w:hAnsi="Times New Roman" w:cs="Times New Roman"/>
                <w:b/>
                <w:bCs/>
                <w:sz w:val="24"/>
                <w:szCs w:val="24"/>
              </w:rPr>
              <w:t>Арендатор:</w:t>
            </w:r>
          </w:p>
          <w:p>
            <w:pPr>
              <w:pStyle w:val="21"/>
              <w:jc w:val="both"/>
              <w:rPr>
                <w:rFonts w:ascii="Times New Roman" w:hAnsi="Times New Roman" w:cs="Times New Roman"/>
                <w:b/>
                <w:sz w:val="24"/>
                <w:szCs w:val="24"/>
              </w:rPr>
            </w:pPr>
            <w:r>
              <w:rPr>
                <w:rFonts w:ascii="Times New Roman" w:hAnsi="Times New Roman" w:cs="Times New Roman"/>
                <w:b/>
                <w:sz w:val="24"/>
                <w:szCs w:val="24"/>
              </w:rPr>
              <w:t>ООО «РЭКС»</w:t>
            </w: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r>
              <w:rPr>
                <w:rFonts w:ascii="Times New Roman" w:hAnsi="Times New Roman" w:cs="Times New Roman"/>
                <w:sz w:val="24"/>
                <w:szCs w:val="24"/>
              </w:rPr>
              <w:t>__________________/</w:t>
            </w:r>
            <w:r>
              <w:rPr>
                <w:rFonts w:ascii="Times New Roman" w:hAnsi="Times New Roman" w:cs="Times New Roman"/>
                <w:bCs/>
                <w:sz w:val="24"/>
                <w:szCs w:val="24"/>
              </w:rPr>
              <w:t xml:space="preserve"> А. И. Конарев/</w:t>
            </w: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r>
              <w:rPr>
                <w:rFonts w:ascii="Times New Roman" w:hAnsi="Times New Roman" w:cs="Times New Roman"/>
                <w:sz w:val="24"/>
                <w:szCs w:val="24"/>
              </w:rPr>
              <w:t>М.П.</w:t>
            </w:r>
          </w:p>
        </w:tc>
        <w:tc>
          <w:tcPr>
            <w:tcW w:w="5049" w:type="dxa"/>
            <w:noWrap w:val="0"/>
            <w:vAlign w:val="top"/>
          </w:tcPr>
          <w:p>
            <w:pPr>
              <w:jc w:val="both"/>
              <w:rPr>
                <w:b/>
                <w:bCs/>
                <w:sz w:val="24"/>
                <w:szCs w:val="24"/>
              </w:rPr>
            </w:pPr>
            <w:r>
              <w:rPr>
                <w:b/>
                <w:bCs/>
                <w:sz w:val="24"/>
                <w:szCs w:val="24"/>
              </w:rPr>
              <w:t>Арендодатель:</w:t>
            </w:r>
          </w:p>
          <w:p>
            <w:pPr>
              <w:widowControl w:val="0"/>
              <w:suppressAutoHyphens/>
              <w:bidi w:val="0"/>
              <w:spacing w:before="0" w:after="0"/>
              <w:ind w:left="0" w:right="0" w:firstLine="0"/>
              <w:rPr>
                <w:highlight w:val="none"/>
                <w:shd w:val="clear" w:fill="auto"/>
              </w:rPr>
            </w:pPr>
            <w:r>
              <w:rPr>
                <w:rFonts w:ascii="Times New Roman" w:hAnsi="Times New Roman"/>
                <w:b/>
                <w:color w:val="00A933"/>
                <w:shd w:val="clear" w:fill="auto"/>
                <w:lang w:val="en-US" w:eastAsia="ar-SA"/>
              </w:rPr>
              <w:t xml:space="preserve">ООО «МОНОЛИТ СЕРВИС»</w:t>
              <w:br/>
              <w:t xml:space="preserve"/>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t>_________________/</w:t>
            </w:r>
            <w:r>
              <w:rPr>
                <w:b/>
                <w:bCs/>
                <w:sz w:val="24"/>
                <w:szCs w:val="24"/>
              </w:rPr>
              <w:t xml:space="preserve"> </w:t>
            </w:r>
            <w:r>
              <w:rPr>
                <w:rFonts w:ascii="Times New Roman" w:hAnsi="Times New Roman"/>
                <w:shd w:val="clear" w:fill="auto"/>
                <w:lang w:eastAsia="ar-SA"/>
              </w:rPr>
              <w:t>/</w:t>
            </w:r>
            <w:r>
              <w:rPr>
                <w:rFonts w:ascii="Times New Roman" w:hAnsi="Times New Roman"/>
                <w:b/>
                <w:color w:val="00A933"/>
                <w:shd w:val="clear" w:fill="auto"/>
                <w:lang w:eastAsia="ar-SA"/>
              </w:rPr>
              <w:t xml:space="preserve">С.С. Макарова</w:t>
              <w:br/>
              <w:t xml:space="preserve"/>
            </w:r>
            <w:r>
              <w:rPr>
                <w:sz w:val="24"/>
                <w:szCs w:val="24"/>
              </w:rPr>
              <w:t xml:space="preserve"> /</w:t>
            </w:r>
          </w:p>
          <w:p>
            <w:pPr>
              <w:jc w:val="both"/>
              <w:rPr>
                <w:sz w:val="24"/>
                <w:szCs w:val="24"/>
              </w:rPr>
            </w:pPr>
          </w:p>
          <w:p>
            <w:pPr>
              <w:jc w:val="both"/>
              <w:rPr>
                <w:sz w:val="24"/>
                <w:szCs w:val="24"/>
              </w:rPr>
            </w:pPr>
            <w:r>
              <w:rPr>
                <w:sz w:val="24"/>
                <w:szCs w:val="24"/>
              </w:rPr>
              <w:t>МП</w:t>
            </w:r>
          </w:p>
        </w:tc>
      </w:tr>
      <w:bookmarkEnd w:id="1"/>
    </w:tbl>
    <w:p>
      <w:pPr>
        <w:shd w:val="clear" w:color="auto" w:fill="FFFFFF"/>
        <w:autoSpaceDE w:val="0"/>
        <w:autoSpaceDN w:val="0"/>
        <w:adjustRightInd w:val="0"/>
        <w:jc w:val="right"/>
        <w:rPr>
          <w:sz w:val="22"/>
          <w:szCs w:val="22"/>
        </w:rPr>
      </w:pPr>
    </w:p>
    <w:sectPr>
      <w:footerReference r:id="rId7" w:type="first"/>
      <w:headerReference r:id="rId3" w:type="default"/>
      <w:footerReference r:id="rId5" w:type="default"/>
      <w:headerReference r:id="rId4" w:type="even"/>
      <w:footerReference r:id="rId6" w:type="even"/>
      <w:pgSz w:w="11906" w:h="16838"/>
      <w:pgMar w:top="851" w:right="849" w:bottom="567" w:left="1276" w:header="720" w:footer="306"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Verdana">
    <w:panose1 w:val="020B0604030504040204"/>
    <w:charset w:val="CC"/>
    <w:family w:val="swiss"/>
    <w:pitch w:val="default"/>
    <w:sig w:usb0="A00006FF" w:usb1="4000205B" w:usb2="00000010" w:usb3="00000000" w:csb0="2000019F" w:csb1="00000000"/>
  </w:font>
  <w:font w:name="Futura">
    <w:altName w:val="Times New Roman"/>
    <w:panose1 w:val="00000000000000000000"/>
    <w:charset w:val="00"/>
    <w:family w:val="roman"/>
    <w:pitch w:val="default"/>
    <w:sig w:usb0="00000000" w:usb1="00000000" w:usb2="00000000" w:usb3="00000000" w:csb0="00040001" w:csb1="00000000"/>
  </w:font>
  <w:font w:name="ヒラギノ角ゴ Pro W3">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enter" w:pos="5244"/>
        <w:tab w:val="right" w:pos="10489"/>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hd w:val="clear" w:color="auto" w:fill="FFFFFF"/>
      <w:tabs>
        <w:tab w:val="left" w:pos="1001"/>
        <w:tab w:val="left" w:pos="6340"/>
      </w:tabs>
      <w:spacing w:line="281" w:lineRule="exact"/>
      <w:jc w:val="both"/>
      <w:rPr>
        <w:color w:val="000000"/>
      </w:rPr>
    </w:pPr>
    <w:r>
      <w:rPr>
        <w:color w:val="000000"/>
      </w:rPr>
      <w:t xml:space="preserve">Подрядчик__________________А.Ф.Карякин                                       </w:t>
    </w:r>
    <w:r>
      <w:rPr>
        <w:color w:val="000000"/>
      </w:rPr>
      <w:tab/>
    </w:r>
    <w:r>
      <w:rPr>
        <w:color w:val="000000"/>
      </w:rPr>
      <w:t xml:space="preserve">   Подрядчик____________/_______________/</w:t>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2</w:t>
    </w:r>
    <w:r>
      <w:rPr>
        <w:rStyle w:val="8"/>
      </w:rPr>
      <w:fldChar w:fldCharType="end"/>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12"/>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autoHyphenation/>
  <w:hyphenationZone w:val="142"/>
  <w:drawingGridHorizontalSpacing w:val="100"/>
  <w:displayHorizontalDrawingGridEvery w:val="0"/>
  <w:displayVerticalDrawingGridEvery w:val="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6AC"/>
    <w:rsid w:val="0000136E"/>
    <w:rsid w:val="00004669"/>
    <w:rsid w:val="00004741"/>
    <w:rsid w:val="000055BE"/>
    <w:rsid w:val="00005F5B"/>
    <w:rsid w:val="000061F0"/>
    <w:rsid w:val="00007CEE"/>
    <w:rsid w:val="00011002"/>
    <w:rsid w:val="000113CA"/>
    <w:rsid w:val="00014953"/>
    <w:rsid w:val="00023FFB"/>
    <w:rsid w:val="00024236"/>
    <w:rsid w:val="000271BE"/>
    <w:rsid w:val="00027F7E"/>
    <w:rsid w:val="00034130"/>
    <w:rsid w:val="00034C50"/>
    <w:rsid w:val="00036841"/>
    <w:rsid w:val="00036B7E"/>
    <w:rsid w:val="00036C62"/>
    <w:rsid w:val="00043D6B"/>
    <w:rsid w:val="00046B41"/>
    <w:rsid w:val="00047757"/>
    <w:rsid w:val="00056054"/>
    <w:rsid w:val="00057DA0"/>
    <w:rsid w:val="0006248A"/>
    <w:rsid w:val="00065746"/>
    <w:rsid w:val="00066ABE"/>
    <w:rsid w:val="000700F3"/>
    <w:rsid w:val="00070314"/>
    <w:rsid w:val="00075C2E"/>
    <w:rsid w:val="00076762"/>
    <w:rsid w:val="00086610"/>
    <w:rsid w:val="00090BA8"/>
    <w:rsid w:val="00091B48"/>
    <w:rsid w:val="00095A2A"/>
    <w:rsid w:val="00095FFB"/>
    <w:rsid w:val="000A152D"/>
    <w:rsid w:val="000B13B7"/>
    <w:rsid w:val="000C0AED"/>
    <w:rsid w:val="000C2128"/>
    <w:rsid w:val="000C70FE"/>
    <w:rsid w:val="000D073F"/>
    <w:rsid w:val="000D0F58"/>
    <w:rsid w:val="000D12C3"/>
    <w:rsid w:val="000D19D9"/>
    <w:rsid w:val="000D2647"/>
    <w:rsid w:val="000D2EB9"/>
    <w:rsid w:val="000D49BA"/>
    <w:rsid w:val="000D566F"/>
    <w:rsid w:val="000D73A6"/>
    <w:rsid w:val="000E1404"/>
    <w:rsid w:val="000E1DF7"/>
    <w:rsid w:val="000E3EF8"/>
    <w:rsid w:val="000E7801"/>
    <w:rsid w:val="000F5116"/>
    <w:rsid w:val="00102475"/>
    <w:rsid w:val="0010349D"/>
    <w:rsid w:val="00103AE8"/>
    <w:rsid w:val="00103ED2"/>
    <w:rsid w:val="0010466E"/>
    <w:rsid w:val="00110549"/>
    <w:rsid w:val="001119E0"/>
    <w:rsid w:val="0012394F"/>
    <w:rsid w:val="00124931"/>
    <w:rsid w:val="00127310"/>
    <w:rsid w:val="0013052E"/>
    <w:rsid w:val="00132CF6"/>
    <w:rsid w:val="00132ED6"/>
    <w:rsid w:val="001340BA"/>
    <w:rsid w:val="00136EDB"/>
    <w:rsid w:val="00144CAB"/>
    <w:rsid w:val="0014648E"/>
    <w:rsid w:val="00147A67"/>
    <w:rsid w:val="00152049"/>
    <w:rsid w:val="00156A94"/>
    <w:rsid w:val="00165234"/>
    <w:rsid w:val="001652E2"/>
    <w:rsid w:val="00166926"/>
    <w:rsid w:val="00170CF3"/>
    <w:rsid w:val="00171516"/>
    <w:rsid w:val="00172B3D"/>
    <w:rsid w:val="00173E5B"/>
    <w:rsid w:val="00174F20"/>
    <w:rsid w:val="00175E0D"/>
    <w:rsid w:val="00180F53"/>
    <w:rsid w:val="00181AA6"/>
    <w:rsid w:val="00185D36"/>
    <w:rsid w:val="00186928"/>
    <w:rsid w:val="0019345E"/>
    <w:rsid w:val="00195000"/>
    <w:rsid w:val="001958BE"/>
    <w:rsid w:val="001A7576"/>
    <w:rsid w:val="001B10AF"/>
    <w:rsid w:val="001B1F45"/>
    <w:rsid w:val="001C2360"/>
    <w:rsid w:val="001C5393"/>
    <w:rsid w:val="001C71AD"/>
    <w:rsid w:val="001D1133"/>
    <w:rsid w:val="001D382E"/>
    <w:rsid w:val="001D44BD"/>
    <w:rsid w:val="001E3733"/>
    <w:rsid w:val="001E5528"/>
    <w:rsid w:val="001E5EA4"/>
    <w:rsid w:val="001E7541"/>
    <w:rsid w:val="001F2C12"/>
    <w:rsid w:val="001F6464"/>
    <w:rsid w:val="001F7BC3"/>
    <w:rsid w:val="00204615"/>
    <w:rsid w:val="00204752"/>
    <w:rsid w:val="0020796F"/>
    <w:rsid w:val="0021045E"/>
    <w:rsid w:val="0021104C"/>
    <w:rsid w:val="0022275F"/>
    <w:rsid w:val="00222C1C"/>
    <w:rsid w:val="00223D1E"/>
    <w:rsid w:val="00224F36"/>
    <w:rsid w:val="002254D5"/>
    <w:rsid w:val="00226326"/>
    <w:rsid w:val="0022678D"/>
    <w:rsid w:val="002271D7"/>
    <w:rsid w:val="0023115F"/>
    <w:rsid w:val="00232E82"/>
    <w:rsid w:val="0023749B"/>
    <w:rsid w:val="00237EEE"/>
    <w:rsid w:val="00240937"/>
    <w:rsid w:val="00241991"/>
    <w:rsid w:val="00243307"/>
    <w:rsid w:val="00243BDD"/>
    <w:rsid w:val="00243CF3"/>
    <w:rsid w:val="002455DD"/>
    <w:rsid w:val="00246527"/>
    <w:rsid w:val="002477CD"/>
    <w:rsid w:val="00250B4E"/>
    <w:rsid w:val="00252ACD"/>
    <w:rsid w:val="0025371D"/>
    <w:rsid w:val="00253C50"/>
    <w:rsid w:val="00255BA3"/>
    <w:rsid w:val="0025630F"/>
    <w:rsid w:val="00256431"/>
    <w:rsid w:val="00257DC5"/>
    <w:rsid w:val="00260232"/>
    <w:rsid w:val="002612FD"/>
    <w:rsid w:val="002622FD"/>
    <w:rsid w:val="0026495B"/>
    <w:rsid w:val="002676BE"/>
    <w:rsid w:val="00272667"/>
    <w:rsid w:val="00272AA0"/>
    <w:rsid w:val="00272D1C"/>
    <w:rsid w:val="002759E2"/>
    <w:rsid w:val="00276C2C"/>
    <w:rsid w:val="002805B7"/>
    <w:rsid w:val="002806DC"/>
    <w:rsid w:val="002841AF"/>
    <w:rsid w:val="00286152"/>
    <w:rsid w:val="002A05D8"/>
    <w:rsid w:val="002A1EEC"/>
    <w:rsid w:val="002A21D8"/>
    <w:rsid w:val="002A23CD"/>
    <w:rsid w:val="002A444C"/>
    <w:rsid w:val="002B406D"/>
    <w:rsid w:val="002B4C66"/>
    <w:rsid w:val="002B4DF1"/>
    <w:rsid w:val="002B6AA8"/>
    <w:rsid w:val="002C0F89"/>
    <w:rsid w:val="002C24E3"/>
    <w:rsid w:val="002C438A"/>
    <w:rsid w:val="002C46C4"/>
    <w:rsid w:val="002C6EAC"/>
    <w:rsid w:val="002D176E"/>
    <w:rsid w:val="002D316F"/>
    <w:rsid w:val="002D3B75"/>
    <w:rsid w:val="002D4CE7"/>
    <w:rsid w:val="002D65BD"/>
    <w:rsid w:val="002D66DA"/>
    <w:rsid w:val="002E0073"/>
    <w:rsid w:val="002E191A"/>
    <w:rsid w:val="002E52AB"/>
    <w:rsid w:val="002E5D4B"/>
    <w:rsid w:val="002E5FAD"/>
    <w:rsid w:val="002F3882"/>
    <w:rsid w:val="00300BCE"/>
    <w:rsid w:val="00300E6C"/>
    <w:rsid w:val="00303227"/>
    <w:rsid w:val="00303E5F"/>
    <w:rsid w:val="00304FD7"/>
    <w:rsid w:val="00305591"/>
    <w:rsid w:val="00307677"/>
    <w:rsid w:val="00307C5C"/>
    <w:rsid w:val="00313D08"/>
    <w:rsid w:val="00315C1F"/>
    <w:rsid w:val="00323CD6"/>
    <w:rsid w:val="00325702"/>
    <w:rsid w:val="003309C2"/>
    <w:rsid w:val="00330FA8"/>
    <w:rsid w:val="0033175B"/>
    <w:rsid w:val="00331E0E"/>
    <w:rsid w:val="003328CF"/>
    <w:rsid w:val="0033479D"/>
    <w:rsid w:val="00334E68"/>
    <w:rsid w:val="003361E0"/>
    <w:rsid w:val="00336920"/>
    <w:rsid w:val="0034416A"/>
    <w:rsid w:val="00344F88"/>
    <w:rsid w:val="00350DD5"/>
    <w:rsid w:val="00353ABD"/>
    <w:rsid w:val="00360AC4"/>
    <w:rsid w:val="00364793"/>
    <w:rsid w:val="00365FB0"/>
    <w:rsid w:val="00366458"/>
    <w:rsid w:val="00380655"/>
    <w:rsid w:val="00381764"/>
    <w:rsid w:val="00382C59"/>
    <w:rsid w:val="003830B9"/>
    <w:rsid w:val="00383F47"/>
    <w:rsid w:val="00385973"/>
    <w:rsid w:val="0038633E"/>
    <w:rsid w:val="00386D2E"/>
    <w:rsid w:val="003871E3"/>
    <w:rsid w:val="00387A8C"/>
    <w:rsid w:val="00391B34"/>
    <w:rsid w:val="00394EAB"/>
    <w:rsid w:val="0039612F"/>
    <w:rsid w:val="003A02A5"/>
    <w:rsid w:val="003A0FCD"/>
    <w:rsid w:val="003A297A"/>
    <w:rsid w:val="003A3AA1"/>
    <w:rsid w:val="003A3DEB"/>
    <w:rsid w:val="003A4A97"/>
    <w:rsid w:val="003A5820"/>
    <w:rsid w:val="003A72FB"/>
    <w:rsid w:val="003B03B4"/>
    <w:rsid w:val="003B2B61"/>
    <w:rsid w:val="003B5535"/>
    <w:rsid w:val="003C024F"/>
    <w:rsid w:val="003C1CB9"/>
    <w:rsid w:val="003C2EA8"/>
    <w:rsid w:val="003C5AB3"/>
    <w:rsid w:val="003C6C39"/>
    <w:rsid w:val="003C7F6C"/>
    <w:rsid w:val="003D2521"/>
    <w:rsid w:val="003D5F2B"/>
    <w:rsid w:val="003D6E98"/>
    <w:rsid w:val="003D7526"/>
    <w:rsid w:val="003D7990"/>
    <w:rsid w:val="003E0B00"/>
    <w:rsid w:val="003E1895"/>
    <w:rsid w:val="003E5F0E"/>
    <w:rsid w:val="003E73A5"/>
    <w:rsid w:val="003F1817"/>
    <w:rsid w:val="003F28DE"/>
    <w:rsid w:val="003F546E"/>
    <w:rsid w:val="003F6195"/>
    <w:rsid w:val="00402A9F"/>
    <w:rsid w:val="00407C2D"/>
    <w:rsid w:val="004224B8"/>
    <w:rsid w:val="00422C77"/>
    <w:rsid w:val="00423D20"/>
    <w:rsid w:val="004245C8"/>
    <w:rsid w:val="0042574A"/>
    <w:rsid w:val="00426903"/>
    <w:rsid w:val="00427365"/>
    <w:rsid w:val="00431AD1"/>
    <w:rsid w:val="00432703"/>
    <w:rsid w:val="004347B0"/>
    <w:rsid w:val="00435B29"/>
    <w:rsid w:val="004377C4"/>
    <w:rsid w:val="00437F71"/>
    <w:rsid w:val="00440D07"/>
    <w:rsid w:val="00443788"/>
    <w:rsid w:val="00450268"/>
    <w:rsid w:val="004524B9"/>
    <w:rsid w:val="0045254D"/>
    <w:rsid w:val="004534B4"/>
    <w:rsid w:val="0045768B"/>
    <w:rsid w:val="00460908"/>
    <w:rsid w:val="00463450"/>
    <w:rsid w:val="0046395C"/>
    <w:rsid w:val="00464DFB"/>
    <w:rsid w:val="0046546B"/>
    <w:rsid w:val="0046798A"/>
    <w:rsid w:val="00467BC6"/>
    <w:rsid w:val="00470D82"/>
    <w:rsid w:val="00471879"/>
    <w:rsid w:val="00474CCB"/>
    <w:rsid w:val="00475C6E"/>
    <w:rsid w:val="0048097B"/>
    <w:rsid w:val="004846F1"/>
    <w:rsid w:val="00487D1F"/>
    <w:rsid w:val="00493BA2"/>
    <w:rsid w:val="0049526C"/>
    <w:rsid w:val="00495B89"/>
    <w:rsid w:val="004B1CFF"/>
    <w:rsid w:val="004B1DB8"/>
    <w:rsid w:val="004B2A3E"/>
    <w:rsid w:val="004B4B0C"/>
    <w:rsid w:val="004B7837"/>
    <w:rsid w:val="004B7FBC"/>
    <w:rsid w:val="004C4724"/>
    <w:rsid w:val="004C4BE4"/>
    <w:rsid w:val="004C5765"/>
    <w:rsid w:val="004C7DE0"/>
    <w:rsid w:val="004D1613"/>
    <w:rsid w:val="004D1D5B"/>
    <w:rsid w:val="004D213D"/>
    <w:rsid w:val="004D3CB9"/>
    <w:rsid w:val="004D3FD4"/>
    <w:rsid w:val="004D536A"/>
    <w:rsid w:val="004E16CD"/>
    <w:rsid w:val="004E2103"/>
    <w:rsid w:val="004E39EA"/>
    <w:rsid w:val="004E3B6C"/>
    <w:rsid w:val="004E538A"/>
    <w:rsid w:val="004E592C"/>
    <w:rsid w:val="004E69CC"/>
    <w:rsid w:val="004F02E8"/>
    <w:rsid w:val="004F3C25"/>
    <w:rsid w:val="00504932"/>
    <w:rsid w:val="00504FE8"/>
    <w:rsid w:val="005051E0"/>
    <w:rsid w:val="00507661"/>
    <w:rsid w:val="00510B29"/>
    <w:rsid w:val="00511098"/>
    <w:rsid w:val="00513F81"/>
    <w:rsid w:val="00525096"/>
    <w:rsid w:val="00530BA7"/>
    <w:rsid w:val="00531208"/>
    <w:rsid w:val="00532AB6"/>
    <w:rsid w:val="00536E23"/>
    <w:rsid w:val="00541508"/>
    <w:rsid w:val="00544462"/>
    <w:rsid w:val="00544C98"/>
    <w:rsid w:val="00545672"/>
    <w:rsid w:val="00551012"/>
    <w:rsid w:val="00551968"/>
    <w:rsid w:val="00551B9E"/>
    <w:rsid w:val="00552C27"/>
    <w:rsid w:val="00556291"/>
    <w:rsid w:val="00561B8A"/>
    <w:rsid w:val="00562E1D"/>
    <w:rsid w:val="0056315A"/>
    <w:rsid w:val="00564A3B"/>
    <w:rsid w:val="00565522"/>
    <w:rsid w:val="00565F0A"/>
    <w:rsid w:val="005664E8"/>
    <w:rsid w:val="00567B3F"/>
    <w:rsid w:val="00571FC5"/>
    <w:rsid w:val="005726C2"/>
    <w:rsid w:val="00576D15"/>
    <w:rsid w:val="0058100A"/>
    <w:rsid w:val="00584EE6"/>
    <w:rsid w:val="00590EA8"/>
    <w:rsid w:val="0059138B"/>
    <w:rsid w:val="00591FDC"/>
    <w:rsid w:val="00592B24"/>
    <w:rsid w:val="005930C6"/>
    <w:rsid w:val="00594EBC"/>
    <w:rsid w:val="005953E7"/>
    <w:rsid w:val="005964A4"/>
    <w:rsid w:val="0059667E"/>
    <w:rsid w:val="00597037"/>
    <w:rsid w:val="0059728A"/>
    <w:rsid w:val="005A024C"/>
    <w:rsid w:val="005A2A65"/>
    <w:rsid w:val="005A7A2A"/>
    <w:rsid w:val="005B3A80"/>
    <w:rsid w:val="005B72FA"/>
    <w:rsid w:val="005B7768"/>
    <w:rsid w:val="005C45C6"/>
    <w:rsid w:val="005D0998"/>
    <w:rsid w:val="005D0D58"/>
    <w:rsid w:val="005D1152"/>
    <w:rsid w:val="005D3024"/>
    <w:rsid w:val="005E1B35"/>
    <w:rsid w:val="005E405B"/>
    <w:rsid w:val="005F3B45"/>
    <w:rsid w:val="005F66DF"/>
    <w:rsid w:val="005F6A0A"/>
    <w:rsid w:val="00600E40"/>
    <w:rsid w:val="006041D5"/>
    <w:rsid w:val="006053BF"/>
    <w:rsid w:val="006056E2"/>
    <w:rsid w:val="006068A2"/>
    <w:rsid w:val="006076A6"/>
    <w:rsid w:val="00610448"/>
    <w:rsid w:val="00610C5D"/>
    <w:rsid w:val="00613BE2"/>
    <w:rsid w:val="0061418B"/>
    <w:rsid w:val="006201BC"/>
    <w:rsid w:val="006201D1"/>
    <w:rsid w:val="00626B1B"/>
    <w:rsid w:val="0062718C"/>
    <w:rsid w:val="00630292"/>
    <w:rsid w:val="006329C3"/>
    <w:rsid w:val="00634646"/>
    <w:rsid w:val="0063502F"/>
    <w:rsid w:val="0063524D"/>
    <w:rsid w:val="0063528B"/>
    <w:rsid w:val="00642EA7"/>
    <w:rsid w:val="00645C46"/>
    <w:rsid w:val="00650ADA"/>
    <w:rsid w:val="00651FE3"/>
    <w:rsid w:val="0065370C"/>
    <w:rsid w:val="00653A02"/>
    <w:rsid w:val="00653F5A"/>
    <w:rsid w:val="00654EA0"/>
    <w:rsid w:val="00660FF5"/>
    <w:rsid w:val="00663D6E"/>
    <w:rsid w:val="00666505"/>
    <w:rsid w:val="006671A1"/>
    <w:rsid w:val="00667233"/>
    <w:rsid w:val="006705D6"/>
    <w:rsid w:val="0067302D"/>
    <w:rsid w:val="00676386"/>
    <w:rsid w:val="00676DDA"/>
    <w:rsid w:val="00680541"/>
    <w:rsid w:val="00681092"/>
    <w:rsid w:val="006852EA"/>
    <w:rsid w:val="006878F9"/>
    <w:rsid w:val="00691392"/>
    <w:rsid w:val="006937D0"/>
    <w:rsid w:val="00697DB2"/>
    <w:rsid w:val="006A1249"/>
    <w:rsid w:val="006A1CA4"/>
    <w:rsid w:val="006A5120"/>
    <w:rsid w:val="006B400D"/>
    <w:rsid w:val="006B4D00"/>
    <w:rsid w:val="006C22CE"/>
    <w:rsid w:val="006C2A1B"/>
    <w:rsid w:val="006D0D07"/>
    <w:rsid w:val="006D587C"/>
    <w:rsid w:val="006D6E13"/>
    <w:rsid w:val="006E3088"/>
    <w:rsid w:val="006F593C"/>
    <w:rsid w:val="00703CCE"/>
    <w:rsid w:val="00706740"/>
    <w:rsid w:val="007121B6"/>
    <w:rsid w:val="00713029"/>
    <w:rsid w:val="00714042"/>
    <w:rsid w:val="00714C4E"/>
    <w:rsid w:val="00717EFE"/>
    <w:rsid w:val="007213A5"/>
    <w:rsid w:val="00721499"/>
    <w:rsid w:val="00722BED"/>
    <w:rsid w:val="007231B1"/>
    <w:rsid w:val="00725FD0"/>
    <w:rsid w:val="00731F9B"/>
    <w:rsid w:val="00732132"/>
    <w:rsid w:val="007339EC"/>
    <w:rsid w:val="00733F3F"/>
    <w:rsid w:val="00740781"/>
    <w:rsid w:val="0074479E"/>
    <w:rsid w:val="00747131"/>
    <w:rsid w:val="00747EF2"/>
    <w:rsid w:val="0075122D"/>
    <w:rsid w:val="007536DD"/>
    <w:rsid w:val="00756CF3"/>
    <w:rsid w:val="00766318"/>
    <w:rsid w:val="007804B2"/>
    <w:rsid w:val="00782F08"/>
    <w:rsid w:val="007840DA"/>
    <w:rsid w:val="007876F2"/>
    <w:rsid w:val="00796B49"/>
    <w:rsid w:val="0079774A"/>
    <w:rsid w:val="00797976"/>
    <w:rsid w:val="007A1193"/>
    <w:rsid w:val="007A1470"/>
    <w:rsid w:val="007A1520"/>
    <w:rsid w:val="007A3972"/>
    <w:rsid w:val="007A41B8"/>
    <w:rsid w:val="007A63CA"/>
    <w:rsid w:val="007B033D"/>
    <w:rsid w:val="007B0A46"/>
    <w:rsid w:val="007B3391"/>
    <w:rsid w:val="007B6D07"/>
    <w:rsid w:val="007C0FD3"/>
    <w:rsid w:val="007C1600"/>
    <w:rsid w:val="007C359D"/>
    <w:rsid w:val="007C502F"/>
    <w:rsid w:val="007C54F9"/>
    <w:rsid w:val="007D0FD9"/>
    <w:rsid w:val="007D31E5"/>
    <w:rsid w:val="007D3674"/>
    <w:rsid w:val="007E1F30"/>
    <w:rsid w:val="007E4402"/>
    <w:rsid w:val="007E5659"/>
    <w:rsid w:val="007E7796"/>
    <w:rsid w:val="007F086D"/>
    <w:rsid w:val="007F0896"/>
    <w:rsid w:val="007F2D4E"/>
    <w:rsid w:val="007F3C11"/>
    <w:rsid w:val="007F7736"/>
    <w:rsid w:val="00803D8C"/>
    <w:rsid w:val="00804631"/>
    <w:rsid w:val="00806A14"/>
    <w:rsid w:val="00806AEA"/>
    <w:rsid w:val="00810408"/>
    <w:rsid w:val="00813CCA"/>
    <w:rsid w:val="00815516"/>
    <w:rsid w:val="00817E9B"/>
    <w:rsid w:val="00820355"/>
    <w:rsid w:val="00821032"/>
    <w:rsid w:val="008219B0"/>
    <w:rsid w:val="00821F58"/>
    <w:rsid w:val="008313C8"/>
    <w:rsid w:val="00833E77"/>
    <w:rsid w:val="008347A0"/>
    <w:rsid w:val="00834BDD"/>
    <w:rsid w:val="00842C5E"/>
    <w:rsid w:val="0084631D"/>
    <w:rsid w:val="008464D8"/>
    <w:rsid w:val="0084774C"/>
    <w:rsid w:val="00853D29"/>
    <w:rsid w:val="00855F29"/>
    <w:rsid w:val="00862080"/>
    <w:rsid w:val="00862BE4"/>
    <w:rsid w:val="008665ED"/>
    <w:rsid w:val="00871FAC"/>
    <w:rsid w:val="00874F61"/>
    <w:rsid w:val="00880A11"/>
    <w:rsid w:val="00880AA3"/>
    <w:rsid w:val="008812DA"/>
    <w:rsid w:val="008830A6"/>
    <w:rsid w:val="008851FB"/>
    <w:rsid w:val="0089298B"/>
    <w:rsid w:val="00893422"/>
    <w:rsid w:val="008B1D3E"/>
    <w:rsid w:val="008B4562"/>
    <w:rsid w:val="008B630D"/>
    <w:rsid w:val="008B6571"/>
    <w:rsid w:val="008B7BBF"/>
    <w:rsid w:val="008C1C4E"/>
    <w:rsid w:val="008C2244"/>
    <w:rsid w:val="008D5190"/>
    <w:rsid w:val="008E121E"/>
    <w:rsid w:val="008E1AB6"/>
    <w:rsid w:val="008E26DE"/>
    <w:rsid w:val="008E27BC"/>
    <w:rsid w:val="008E2DBE"/>
    <w:rsid w:val="008E2E70"/>
    <w:rsid w:val="008E3415"/>
    <w:rsid w:val="008E363A"/>
    <w:rsid w:val="008E5AD8"/>
    <w:rsid w:val="008E66ED"/>
    <w:rsid w:val="008E7FDF"/>
    <w:rsid w:val="008F237F"/>
    <w:rsid w:val="008F446D"/>
    <w:rsid w:val="008F5082"/>
    <w:rsid w:val="008F55E5"/>
    <w:rsid w:val="008F5C30"/>
    <w:rsid w:val="00901613"/>
    <w:rsid w:val="00902B33"/>
    <w:rsid w:val="00904287"/>
    <w:rsid w:val="009050E5"/>
    <w:rsid w:val="00905C25"/>
    <w:rsid w:val="00907E0F"/>
    <w:rsid w:val="00907ED8"/>
    <w:rsid w:val="009100B3"/>
    <w:rsid w:val="00910691"/>
    <w:rsid w:val="009120C2"/>
    <w:rsid w:val="00913B7D"/>
    <w:rsid w:val="009218F4"/>
    <w:rsid w:val="00921E21"/>
    <w:rsid w:val="00923083"/>
    <w:rsid w:val="009248FB"/>
    <w:rsid w:val="00925601"/>
    <w:rsid w:val="00931747"/>
    <w:rsid w:val="0093702F"/>
    <w:rsid w:val="00940BD7"/>
    <w:rsid w:val="00941D0C"/>
    <w:rsid w:val="00942E90"/>
    <w:rsid w:val="009458E4"/>
    <w:rsid w:val="00950472"/>
    <w:rsid w:val="00951A4C"/>
    <w:rsid w:val="0095491B"/>
    <w:rsid w:val="00965A7E"/>
    <w:rsid w:val="00966625"/>
    <w:rsid w:val="0097034D"/>
    <w:rsid w:val="00970D04"/>
    <w:rsid w:val="00970E5A"/>
    <w:rsid w:val="00973621"/>
    <w:rsid w:val="009769AB"/>
    <w:rsid w:val="0097708C"/>
    <w:rsid w:val="00980CFD"/>
    <w:rsid w:val="009818E6"/>
    <w:rsid w:val="009827A3"/>
    <w:rsid w:val="009834DB"/>
    <w:rsid w:val="009927F7"/>
    <w:rsid w:val="00992C16"/>
    <w:rsid w:val="009944D4"/>
    <w:rsid w:val="0099471E"/>
    <w:rsid w:val="009A0846"/>
    <w:rsid w:val="009A131A"/>
    <w:rsid w:val="009A1CA9"/>
    <w:rsid w:val="009A350E"/>
    <w:rsid w:val="009A4710"/>
    <w:rsid w:val="009A4814"/>
    <w:rsid w:val="009A4845"/>
    <w:rsid w:val="009B26D5"/>
    <w:rsid w:val="009B46FD"/>
    <w:rsid w:val="009C028F"/>
    <w:rsid w:val="009C0BF5"/>
    <w:rsid w:val="009C2BA2"/>
    <w:rsid w:val="009C320E"/>
    <w:rsid w:val="009C5281"/>
    <w:rsid w:val="009C6EDD"/>
    <w:rsid w:val="009C7F3C"/>
    <w:rsid w:val="009D07C4"/>
    <w:rsid w:val="009D0ECB"/>
    <w:rsid w:val="009D260C"/>
    <w:rsid w:val="009D4A84"/>
    <w:rsid w:val="009D4FEB"/>
    <w:rsid w:val="009D78CF"/>
    <w:rsid w:val="009E17AB"/>
    <w:rsid w:val="009E194C"/>
    <w:rsid w:val="009E65B9"/>
    <w:rsid w:val="009F229B"/>
    <w:rsid w:val="00A00C57"/>
    <w:rsid w:val="00A01EAE"/>
    <w:rsid w:val="00A0233D"/>
    <w:rsid w:val="00A036E1"/>
    <w:rsid w:val="00A0513D"/>
    <w:rsid w:val="00A0680A"/>
    <w:rsid w:val="00A137B4"/>
    <w:rsid w:val="00A1390A"/>
    <w:rsid w:val="00A14024"/>
    <w:rsid w:val="00A22266"/>
    <w:rsid w:val="00A309E3"/>
    <w:rsid w:val="00A337D7"/>
    <w:rsid w:val="00A340BF"/>
    <w:rsid w:val="00A34903"/>
    <w:rsid w:val="00A34E37"/>
    <w:rsid w:val="00A426F3"/>
    <w:rsid w:val="00A4443B"/>
    <w:rsid w:val="00A44825"/>
    <w:rsid w:val="00A44BD9"/>
    <w:rsid w:val="00A458C5"/>
    <w:rsid w:val="00A63074"/>
    <w:rsid w:val="00A65D5A"/>
    <w:rsid w:val="00A6651B"/>
    <w:rsid w:val="00A673F5"/>
    <w:rsid w:val="00A7338D"/>
    <w:rsid w:val="00A75FD7"/>
    <w:rsid w:val="00A8377E"/>
    <w:rsid w:val="00A90688"/>
    <w:rsid w:val="00A907CD"/>
    <w:rsid w:val="00A917D3"/>
    <w:rsid w:val="00A94BD2"/>
    <w:rsid w:val="00A95E1C"/>
    <w:rsid w:val="00A96096"/>
    <w:rsid w:val="00AA3745"/>
    <w:rsid w:val="00AA52D1"/>
    <w:rsid w:val="00AB7B25"/>
    <w:rsid w:val="00AC0480"/>
    <w:rsid w:val="00AC0EF1"/>
    <w:rsid w:val="00AC2CBC"/>
    <w:rsid w:val="00AC6721"/>
    <w:rsid w:val="00AD337A"/>
    <w:rsid w:val="00AD4282"/>
    <w:rsid w:val="00AD5AA0"/>
    <w:rsid w:val="00AD61F6"/>
    <w:rsid w:val="00AD7391"/>
    <w:rsid w:val="00AE2ADF"/>
    <w:rsid w:val="00AE61F3"/>
    <w:rsid w:val="00AF26AD"/>
    <w:rsid w:val="00AF2D20"/>
    <w:rsid w:val="00AF4AE8"/>
    <w:rsid w:val="00B0201E"/>
    <w:rsid w:val="00B0456C"/>
    <w:rsid w:val="00B0500C"/>
    <w:rsid w:val="00B11353"/>
    <w:rsid w:val="00B133E2"/>
    <w:rsid w:val="00B159D0"/>
    <w:rsid w:val="00B16897"/>
    <w:rsid w:val="00B16F05"/>
    <w:rsid w:val="00B17BC8"/>
    <w:rsid w:val="00B20360"/>
    <w:rsid w:val="00B21D07"/>
    <w:rsid w:val="00B27450"/>
    <w:rsid w:val="00B333E7"/>
    <w:rsid w:val="00B33912"/>
    <w:rsid w:val="00B3573E"/>
    <w:rsid w:val="00B35DD5"/>
    <w:rsid w:val="00B405BA"/>
    <w:rsid w:val="00B41198"/>
    <w:rsid w:val="00B414B5"/>
    <w:rsid w:val="00B43815"/>
    <w:rsid w:val="00B5080D"/>
    <w:rsid w:val="00B52387"/>
    <w:rsid w:val="00B52957"/>
    <w:rsid w:val="00B53D1D"/>
    <w:rsid w:val="00B55041"/>
    <w:rsid w:val="00B562AF"/>
    <w:rsid w:val="00B57BC8"/>
    <w:rsid w:val="00B57C33"/>
    <w:rsid w:val="00B66DF5"/>
    <w:rsid w:val="00B67B6A"/>
    <w:rsid w:val="00B704B3"/>
    <w:rsid w:val="00B75819"/>
    <w:rsid w:val="00B75E67"/>
    <w:rsid w:val="00B76361"/>
    <w:rsid w:val="00B7673E"/>
    <w:rsid w:val="00B7725E"/>
    <w:rsid w:val="00B833FF"/>
    <w:rsid w:val="00B855FA"/>
    <w:rsid w:val="00B92B49"/>
    <w:rsid w:val="00B932A9"/>
    <w:rsid w:val="00B938FF"/>
    <w:rsid w:val="00B9698D"/>
    <w:rsid w:val="00BA0914"/>
    <w:rsid w:val="00BA1EA8"/>
    <w:rsid w:val="00BA3194"/>
    <w:rsid w:val="00BA50D9"/>
    <w:rsid w:val="00BA53E4"/>
    <w:rsid w:val="00BA59A0"/>
    <w:rsid w:val="00BA625C"/>
    <w:rsid w:val="00BA68F9"/>
    <w:rsid w:val="00BB0DAB"/>
    <w:rsid w:val="00BB12BA"/>
    <w:rsid w:val="00BB3EB3"/>
    <w:rsid w:val="00BB4CD2"/>
    <w:rsid w:val="00BB6E7F"/>
    <w:rsid w:val="00BC069A"/>
    <w:rsid w:val="00BC2544"/>
    <w:rsid w:val="00BC4860"/>
    <w:rsid w:val="00BC6106"/>
    <w:rsid w:val="00BC632A"/>
    <w:rsid w:val="00BC716F"/>
    <w:rsid w:val="00BD0134"/>
    <w:rsid w:val="00BD5EC8"/>
    <w:rsid w:val="00BD63EE"/>
    <w:rsid w:val="00BE18DF"/>
    <w:rsid w:val="00BE3392"/>
    <w:rsid w:val="00BE34C4"/>
    <w:rsid w:val="00BE7213"/>
    <w:rsid w:val="00BE76DE"/>
    <w:rsid w:val="00BE78B7"/>
    <w:rsid w:val="00BE7DCC"/>
    <w:rsid w:val="00BF01F3"/>
    <w:rsid w:val="00BF1756"/>
    <w:rsid w:val="00BF2532"/>
    <w:rsid w:val="00BF4138"/>
    <w:rsid w:val="00BF7016"/>
    <w:rsid w:val="00C045B4"/>
    <w:rsid w:val="00C04B66"/>
    <w:rsid w:val="00C05235"/>
    <w:rsid w:val="00C06596"/>
    <w:rsid w:val="00C106D5"/>
    <w:rsid w:val="00C10B68"/>
    <w:rsid w:val="00C1353F"/>
    <w:rsid w:val="00C14E70"/>
    <w:rsid w:val="00C171AB"/>
    <w:rsid w:val="00C328E1"/>
    <w:rsid w:val="00C33D74"/>
    <w:rsid w:val="00C3553D"/>
    <w:rsid w:val="00C35812"/>
    <w:rsid w:val="00C35EC0"/>
    <w:rsid w:val="00C36860"/>
    <w:rsid w:val="00C37C91"/>
    <w:rsid w:val="00C42A85"/>
    <w:rsid w:val="00C47332"/>
    <w:rsid w:val="00C508FA"/>
    <w:rsid w:val="00C531FD"/>
    <w:rsid w:val="00C546F7"/>
    <w:rsid w:val="00C55137"/>
    <w:rsid w:val="00C614BD"/>
    <w:rsid w:val="00C65DE1"/>
    <w:rsid w:val="00C713B8"/>
    <w:rsid w:val="00C71565"/>
    <w:rsid w:val="00C71874"/>
    <w:rsid w:val="00C71E66"/>
    <w:rsid w:val="00C76F77"/>
    <w:rsid w:val="00C7709D"/>
    <w:rsid w:val="00C8334A"/>
    <w:rsid w:val="00C83975"/>
    <w:rsid w:val="00C84239"/>
    <w:rsid w:val="00C94392"/>
    <w:rsid w:val="00C945F3"/>
    <w:rsid w:val="00C961AA"/>
    <w:rsid w:val="00CA2375"/>
    <w:rsid w:val="00CA3A7A"/>
    <w:rsid w:val="00CA3EB2"/>
    <w:rsid w:val="00CA6CB7"/>
    <w:rsid w:val="00CA7F53"/>
    <w:rsid w:val="00CB0FDD"/>
    <w:rsid w:val="00CB205E"/>
    <w:rsid w:val="00CB27ED"/>
    <w:rsid w:val="00CB3608"/>
    <w:rsid w:val="00CB4AE7"/>
    <w:rsid w:val="00CB4CB4"/>
    <w:rsid w:val="00CB75E5"/>
    <w:rsid w:val="00CB788D"/>
    <w:rsid w:val="00CC057C"/>
    <w:rsid w:val="00CC09A1"/>
    <w:rsid w:val="00CC2716"/>
    <w:rsid w:val="00CC6165"/>
    <w:rsid w:val="00CD0CBE"/>
    <w:rsid w:val="00CD589D"/>
    <w:rsid w:val="00CD5C1E"/>
    <w:rsid w:val="00CD6D81"/>
    <w:rsid w:val="00CD76FD"/>
    <w:rsid w:val="00CD7BD1"/>
    <w:rsid w:val="00CE0167"/>
    <w:rsid w:val="00CE0EF0"/>
    <w:rsid w:val="00CE1501"/>
    <w:rsid w:val="00CE44B2"/>
    <w:rsid w:val="00CE5834"/>
    <w:rsid w:val="00CE61C0"/>
    <w:rsid w:val="00CF1EE2"/>
    <w:rsid w:val="00CF51F3"/>
    <w:rsid w:val="00CF64A6"/>
    <w:rsid w:val="00D02B21"/>
    <w:rsid w:val="00D0431A"/>
    <w:rsid w:val="00D146AC"/>
    <w:rsid w:val="00D1531D"/>
    <w:rsid w:val="00D1574F"/>
    <w:rsid w:val="00D32391"/>
    <w:rsid w:val="00D40920"/>
    <w:rsid w:val="00D40F61"/>
    <w:rsid w:val="00D438BD"/>
    <w:rsid w:val="00D43E29"/>
    <w:rsid w:val="00D45B8B"/>
    <w:rsid w:val="00D45E49"/>
    <w:rsid w:val="00D47E46"/>
    <w:rsid w:val="00D56AF7"/>
    <w:rsid w:val="00D60775"/>
    <w:rsid w:val="00D61755"/>
    <w:rsid w:val="00D62318"/>
    <w:rsid w:val="00D62E9E"/>
    <w:rsid w:val="00D6314B"/>
    <w:rsid w:val="00D63765"/>
    <w:rsid w:val="00D644F4"/>
    <w:rsid w:val="00D65844"/>
    <w:rsid w:val="00D70C8B"/>
    <w:rsid w:val="00D75E59"/>
    <w:rsid w:val="00D770BF"/>
    <w:rsid w:val="00D846A9"/>
    <w:rsid w:val="00D875CF"/>
    <w:rsid w:val="00D93114"/>
    <w:rsid w:val="00D95001"/>
    <w:rsid w:val="00D9703B"/>
    <w:rsid w:val="00DA0282"/>
    <w:rsid w:val="00DA0BD1"/>
    <w:rsid w:val="00DA27DF"/>
    <w:rsid w:val="00DA2F21"/>
    <w:rsid w:val="00DA327B"/>
    <w:rsid w:val="00DA4BBF"/>
    <w:rsid w:val="00DA74E5"/>
    <w:rsid w:val="00DB00C4"/>
    <w:rsid w:val="00DB0153"/>
    <w:rsid w:val="00DB0B81"/>
    <w:rsid w:val="00DB0D02"/>
    <w:rsid w:val="00DB0D37"/>
    <w:rsid w:val="00DB1281"/>
    <w:rsid w:val="00DB1983"/>
    <w:rsid w:val="00DB1C72"/>
    <w:rsid w:val="00DB3FCA"/>
    <w:rsid w:val="00DB541B"/>
    <w:rsid w:val="00DB5748"/>
    <w:rsid w:val="00DB76DF"/>
    <w:rsid w:val="00DC003A"/>
    <w:rsid w:val="00DC6DA9"/>
    <w:rsid w:val="00DC7820"/>
    <w:rsid w:val="00DD0162"/>
    <w:rsid w:val="00DD3876"/>
    <w:rsid w:val="00DD434A"/>
    <w:rsid w:val="00DD5A4D"/>
    <w:rsid w:val="00DD6396"/>
    <w:rsid w:val="00DE2AD3"/>
    <w:rsid w:val="00DE3AD9"/>
    <w:rsid w:val="00DE66F2"/>
    <w:rsid w:val="00E01116"/>
    <w:rsid w:val="00E05F8E"/>
    <w:rsid w:val="00E06E5E"/>
    <w:rsid w:val="00E104E7"/>
    <w:rsid w:val="00E10CFA"/>
    <w:rsid w:val="00E13887"/>
    <w:rsid w:val="00E15A2B"/>
    <w:rsid w:val="00E16EB5"/>
    <w:rsid w:val="00E17B2B"/>
    <w:rsid w:val="00E17E55"/>
    <w:rsid w:val="00E2063F"/>
    <w:rsid w:val="00E2165E"/>
    <w:rsid w:val="00E218A8"/>
    <w:rsid w:val="00E22846"/>
    <w:rsid w:val="00E2424D"/>
    <w:rsid w:val="00E25C0B"/>
    <w:rsid w:val="00E26896"/>
    <w:rsid w:val="00E27632"/>
    <w:rsid w:val="00E30B0F"/>
    <w:rsid w:val="00E30C5A"/>
    <w:rsid w:val="00E30E9C"/>
    <w:rsid w:val="00E33B34"/>
    <w:rsid w:val="00E33BE2"/>
    <w:rsid w:val="00E349EE"/>
    <w:rsid w:val="00E3679D"/>
    <w:rsid w:val="00E371DF"/>
    <w:rsid w:val="00E4117E"/>
    <w:rsid w:val="00E444FF"/>
    <w:rsid w:val="00E46FFF"/>
    <w:rsid w:val="00E47065"/>
    <w:rsid w:val="00E50BA2"/>
    <w:rsid w:val="00E554B4"/>
    <w:rsid w:val="00E56412"/>
    <w:rsid w:val="00E6156A"/>
    <w:rsid w:val="00E63C42"/>
    <w:rsid w:val="00E71B60"/>
    <w:rsid w:val="00E720A5"/>
    <w:rsid w:val="00E75054"/>
    <w:rsid w:val="00E750D5"/>
    <w:rsid w:val="00E7757F"/>
    <w:rsid w:val="00E80C5A"/>
    <w:rsid w:val="00E81983"/>
    <w:rsid w:val="00E82BEE"/>
    <w:rsid w:val="00E83048"/>
    <w:rsid w:val="00E84365"/>
    <w:rsid w:val="00E85068"/>
    <w:rsid w:val="00E862F9"/>
    <w:rsid w:val="00E910B0"/>
    <w:rsid w:val="00E936ED"/>
    <w:rsid w:val="00E95030"/>
    <w:rsid w:val="00EA2107"/>
    <w:rsid w:val="00EA55D0"/>
    <w:rsid w:val="00EA5C0D"/>
    <w:rsid w:val="00EB5399"/>
    <w:rsid w:val="00EB57D5"/>
    <w:rsid w:val="00EB733A"/>
    <w:rsid w:val="00EB772B"/>
    <w:rsid w:val="00EC05AB"/>
    <w:rsid w:val="00EC145C"/>
    <w:rsid w:val="00EC1933"/>
    <w:rsid w:val="00EC3927"/>
    <w:rsid w:val="00EC6FDB"/>
    <w:rsid w:val="00EC73A1"/>
    <w:rsid w:val="00ED4E4E"/>
    <w:rsid w:val="00ED6EB1"/>
    <w:rsid w:val="00EE7131"/>
    <w:rsid w:val="00EF3C19"/>
    <w:rsid w:val="00F130F1"/>
    <w:rsid w:val="00F1374F"/>
    <w:rsid w:val="00F179D9"/>
    <w:rsid w:val="00F23BFC"/>
    <w:rsid w:val="00F24467"/>
    <w:rsid w:val="00F2589F"/>
    <w:rsid w:val="00F264F4"/>
    <w:rsid w:val="00F276F9"/>
    <w:rsid w:val="00F31D19"/>
    <w:rsid w:val="00F3585F"/>
    <w:rsid w:val="00F36855"/>
    <w:rsid w:val="00F36897"/>
    <w:rsid w:val="00F36E50"/>
    <w:rsid w:val="00F3779F"/>
    <w:rsid w:val="00F427C0"/>
    <w:rsid w:val="00F432FE"/>
    <w:rsid w:val="00F4362C"/>
    <w:rsid w:val="00F44D95"/>
    <w:rsid w:val="00F46C88"/>
    <w:rsid w:val="00F53455"/>
    <w:rsid w:val="00F577A3"/>
    <w:rsid w:val="00F64B2B"/>
    <w:rsid w:val="00F759B6"/>
    <w:rsid w:val="00F75CD8"/>
    <w:rsid w:val="00F76616"/>
    <w:rsid w:val="00F82A27"/>
    <w:rsid w:val="00F835ED"/>
    <w:rsid w:val="00F856C6"/>
    <w:rsid w:val="00F87E88"/>
    <w:rsid w:val="00F905D9"/>
    <w:rsid w:val="00FA11A1"/>
    <w:rsid w:val="00FA2718"/>
    <w:rsid w:val="00FB6BA5"/>
    <w:rsid w:val="00FB6F6F"/>
    <w:rsid w:val="00FB74F9"/>
    <w:rsid w:val="00FC58B5"/>
    <w:rsid w:val="00FC7527"/>
    <w:rsid w:val="00FD11BB"/>
    <w:rsid w:val="00FD35D9"/>
    <w:rsid w:val="00FD6EE8"/>
    <w:rsid w:val="00FE1985"/>
    <w:rsid w:val="00FE3538"/>
    <w:rsid w:val="00FF6CD6"/>
    <w:rsid w:val="00FF7B43"/>
    <w:rsid w:val="2A6314F3"/>
    <w:rsid w:val="2E57506B"/>
    <w:rsid w:val="2FED293F"/>
    <w:rsid w:val="7259037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semiHidden="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qFormat="1" w:unhideWhenUsed="0" w:uiPriority="0" w:semiHidden="0" w:name="Body Text Indent 3"/>
    <w:lsdException w:qFormat="1" w:unhideWhenUsed="0" w:uiPriority="0" w:semiHidden="0" w:name="Block Text"/>
    <w:lsdException w:uiPriority="0"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lang w:val="ru-RU" w:eastAsia="ru-RU" w:bidi="ar-SA"/>
    </w:rPr>
  </w:style>
  <w:style w:type="paragraph" w:styleId="2">
    <w:name w:val="heading 1"/>
    <w:basedOn w:val="1"/>
    <w:next w:val="1"/>
    <w:qFormat/>
    <w:uiPriority w:val="0"/>
    <w:pPr>
      <w:keepNext/>
      <w:jc w:val="center"/>
      <w:outlineLvl w:val="0"/>
    </w:pPr>
    <w:rPr>
      <w:sz w:val="24"/>
    </w:rPr>
  </w:style>
  <w:style w:type="paragraph" w:styleId="3">
    <w:name w:val="heading 3"/>
    <w:basedOn w:val="1"/>
    <w:next w:val="1"/>
    <w:qFormat/>
    <w:uiPriority w:val="0"/>
    <w:pPr>
      <w:keepNext/>
      <w:spacing w:before="240" w:after="60"/>
      <w:outlineLvl w:val="2"/>
    </w:pPr>
    <w:rPr>
      <w:rFonts w:ascii="Arial" w:hAnsi="Arial" w:cs="Arial"/>
      <w:b/>
      <w:bCs/>
      <w:sz w:val="26"/>
      <w:szCs w:val="26"/>
    </w:rPr>
  </w:style>
  <w:style w:type="character" w:default="1" w:styleId="4">
    <w:name w:val="Default Paragraph Font"/>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character" w:styleId="6">
    <w:name w:val="footnote reference"/>
    <w:autoRedefine/>
    <w:unhideWhenUsed/>
    <w:uiPriority w:val="0"/>
    <w:rPr>
      <w:vertAlign w:val="superscript"/>
    </w:rPr>
  </w:style>
  <w:style w:type="character" w:styleId="7">
    <w:name w:val="Hyperlink"/>
    <w:autoRedefine/>
    <w:unhideWhenUsed/>
    <w:uiPriority w:val="0"/>
    <w:rPr>
      <w:color w:val="0563C1"/>
      <w:u w:val="single"/>
    </w:rPr>
  </w:style>
  <w:style w:type="character" w:styleId="8">
    <w:name w:val="page number"/>
    <w:basedOn w:val="4"/>
    <w:autoRedefine/>
    <w:uiPriority w:val="0"/>
  </w:style>
  <w:style w:type="character" w:styleId="9">
    <w:name w:val="Strong"/>
    <w:autoRedefine/>
    <w:qFormat/>
    <w:uiPriority w:val="22"/>
    <w:rPr>
      <w:b/>
      <w:bCs/>
    </w:rPr>
  </w:style>
  <w:style w:type="paragraph" w:styleId="10">
    <w:name w:val="Balloon Text"/>
    <w:basedOn w:val="1"/>
    <w:autoRedefine/>
    <w:semiHidden/>
    <w:qFormat/>
    <w:uiPriority w:val="0"/>
    <w:rPr>
      <w:rFonts w:ascii="Tahoma" w:hAnsi="Tahoma" w:cs="Tahoma"/>
      <w:sz w:val="16"/>
      <w:szCs w:val="16"/>
    </w:rPr>
  </w:style>
  <w:style w:type="paragraph" w:styleId="11">
    <w:name w:val="Body Text Indent 3"/>
    <w:basedOn w:val="1"/>
    <w:link w:val="20"/>
    <w:autoRedefine/>
    <w:qFormat/>
    <w:uiPriority w:val="0"/>
    <w:pPr>
      <w:spacing w:after="120"/>
      <w:ind w:left="283"/>
    </w:pPr>
    <w:rPr>
      <w:sz w:val="16"/>
      <w:szCs w:val="16"/>
    </w:rPr>
  </w:style>
  <w:style w:type="paragraph" w:styleId="12">
    <w:name w:val="header"/>
    <w:basedOn w:val="1"/>
    <w:autoRedefine/>
    <w:uiPriority w:val="0"/>
    <w:pPr>
      <w:tabs>
        <w:tab w:val="center" w:pos="4677"/>
        <w:tab w:val="right" w:pos="9355"/>
      </w:tabs>
    </w:pPr>
  </w:style>
  <w:style w:type="paragraph" w:styleId="13">
    <w:name w:val="Body Text"/>
    <w:basedOn w:val="1"/>
    <w:autoRedefine/>
    <w:qFormat/>
    <w:uiPriority w:val="0"/>
    <w:pPr>
      <w:spacing w:after="120"/>
    </w:pPr>
  </w:style>
  <w:style w:type="paragraph" w:styleId="14">
    <w:name w:val="Title"/>
    <w:basedOn w:val="1"/>
    <w:link w:val="27"/>
    <w:autoRedefine/>
    <w:qFormat/>
    <w:uiPriority w:val="0"/>
    <w:pPr>
      <w:jc w:val="center"/>
    </w:pPr>
    <w:rPr>
      <w:b/>
      <w:bCs/>
      <w:sz w:val="24"/>
      <w:szCs w:val="24"/>
    </w:rPr>
  </w:style>
  <w:style w:type="paragraph" w:styleId="15">
    <w:name w:val="footer"/>
    <w:basedOn w:val="1"/>
    <w:autoRedefine/>
    <w:qFormat/>
    <w:uiPriority w:val="0"/>
    <w:pPr>
      <w:tabs>
        <w:tab w:val="center" w:pos="4153"/>
        <w:tab w:val="right" w:pos="8306"/>
      </w:tabs>
    </w:pPr>
  </w:style>
  <w:style w:type="paragraph" w:styleId="16">
    <w:name w:val="Normal (Web)"/>
    <w:basedOn w:val="1"/>
    <w:autoRedefine/>
    <w:qFormat/>
    <w:uiPriority w:val="0"/>
    <w:pPr>
      <w:spacing w:before="100" w:beforeAutospacing="1"/>
    </w:pPr>
    <w:rPr>
      <w:color w:val="000000"/>
      <w:sz w:val="24"/>
      <w:szCs w:val="24"/>
    </w:rPr>
  </w:style>
  <w:style w:type="paragraph" w:styleId="17">
    <w:name w:val="Block Text"/>
    <w:basedOn w:val="1"/>
    <w:autoRedefine/>
    <w:qFormat/>
    <w:uiPriority w:val="0"/>
    <w:pPr>
      <w:shd w:val="clear" w:color="auto" w:fill="FFFFFF"/>
      <w:tabs>
        <w:tab w:val="left" w:pos="641"/>
      </w:tabs>
      <w:ind w:left="53" w:right="1"/>
      <w:jc w:val="both"/>
    </w:pPr>
    <w:rPr>
      <w:color w:val="000000"/>
      <w:sz w:val="22"/>
      <w:szCs w:val="22"/>
    </w:rPr>
  </w:style>
  <w:style w:type="table" w:styleId="18">
    <w:name w:val="Table Grid"/>
    <w:basedOn w:val="5"/>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9">
    <w:name w:val="ConsNormal"/>
    <w:autoRedefine/>
    <w:qFormat/>
    <w:uiPriority w:val="0"/>
    <w:pPr>
      <w:widowControl w:val="0"/>
      <w:autoSpaceDE w:val="0"/>
      <w:autoSpaceDN w:val="0"/>
      <w:adjustRightInd w:val="0"/>
      <w:ind w:right="19772" w:firstLine="720"/>
    </w:pPr>
    <w:rPr>
      <w:rFonts w:ascii="Arial" w:hAnsi="Arial" w:eastAsia="Times New Roman" w:cs="Times New Roman"/>
      <w:sz w:val="22"/>
      <w:lang w:val="ru-RU" w:eastAsia="ru-RU" w:bidi="ar-SA"/>
    </w:rPr>
  </w:style>
  <w:style w:type="character" w:customStyle="1" w:styleId="20">
    <w:name w:val="Основной текст с отступом 3 Знак"/>
    <w:link w:val="11"/>
    <w:autoRedefine/>
    <w:qFormat/>
    <w:uiPriority w:val="0"/>
    <w:rPr>
      <w:sz w:val="16"/>
      <w:szCs w:val="16"/>
    </w:rPr>
  </w:style>
  <w:style w:type="paragraph" w:customStyle="1" w:styleId="21">
    <w:name w:val="ConsPlusNonformat"/>
    <w:autoRedefine/>
    <w:qFormat/>
    <w:uiPriority w:val="99"/>
    <w:pPr>
      <w:widowControl w:val="0"/>
      <w:autoSpaceDE w:val="0"/>
      <w:autoSpaceDN w:val="0"/>
      <w:adjustRightInd w:val="0"/>
    </w:pPr>
    <w:rPr>
      <w:rFonts w:ascii="Courier New" w:hAnsi="Courier New" w:eastAsia="Times New Roman" w:cs="Courier New"/>
      <w:lang w:val="ru-RU" w:eastAsia="ru-RU" w:bidi="ar-SA"/>
    </w:rPr>
  </w:style>
  <w:style w:type="paragraph" w:customStyle="1" w:styleId="22">
    <w:name w:val="ConsPlusNormal"/>
    <w:autoRedefine/>
    <w:qFormat/>
    <w:uiPriority w:val="0"/>
    <w:pPr>
      <w:widowControl w:val="0"/>
      <w:autoSpaceDE w:val="0"/>
      <w:autoSpaceDN w:val="0"/>
      <w:adjustRightInd w:val="0"/>
      <w:ind w:firstLine="720"/>
    </w:pPr>
    <w:rPr>
      <w:rFonts w:ascii="Arial" w:hAnsi="Arial" w:eastAsia="Times New Roman" w:cs="Arial"/>
      <w:lang w:val="ru-RU" w:eastAsia="ru-RU" w:bidi="ar-SA"/>
    </w:rPr>
  </w:style>
  <w:style w:type="paragraph" w:styleId="23">
    <w:name w:val="List Paragraph"/>
    <w:basedOn w:val="1"/>
    <w:autoRedefine/>
    <w:qFormat/>
    <w:uiPriority w:val="34"/>
    <w:pPr>
      <w:spacing w:after="200" w:line="276" w:lineRule="auto"/>
      <w:ind w:left="720"/>
      <w:contextualSpacing/>
    </w:pPr>
    <w:rPr>
      <w:rFonts w:ascii="Calibri" w:hAnsi="Calibri" w:eastAsia="Calibri"/>
      <w:sz w:val="22"/>
      <w:szCs w:val="22"/>
      <w:lang w:eastAsia="en-US"/>
    </w:rPr>
  </w:style>
  <w:style w:type="paragraph" w:customStyle="1" w:styleId="24">
    <w:name w:val="Стиль"/>
    <w:basedOn w:val="1"/>
    <w:autoRedefine/>
    <w:qFormat/>
    <w:uiPriority w:val="0"/>
    <w:pPr>
      <w:tabs>
        <w:tab w:val="left" w:pos="2160"/>
      </w:tabs>
      <w:spacing w:before="120" w:line="240" w:lineRule="exact"/>
      <w:jc w:val="both"/>
    </w:pPr>
    <w:rPr>
      <w:sz w:val="24"/>
      <w:szCs w:val="24"/>
      <w:lang w:val="en-US"/>
    </w:rPr>
  </w:style>
  <w:style w:type="paragraph" w:customStyle="1" w:styleId="25">
    <w:name w:val="western"/>
    <w:basedOn w:val="1"/>
    <w:autoRedefine/>
    <w:qFormat/>
    <w:uiPriority w:val="0"/>
    <w:pPr>
      <w:spacing w:before="100" w:beforeAutospacing="1"/>
      <w:jc w:val="both"/>
    </w:pPr>
    <w:rPr>
      <w:rFonts w:ascii="Arial" w:hAnsi="Arial" w:cs="Arial"/>
      <w:color w:val="000000"/>
      <w:sz w:val="24"/>
      <w:szCs w:val="24"/>
    </w:rPr>
  </w:style>
  <w:style w:type="paragraph" w:customStyle="1" w:styleId="26">
    <w:name w:val="Содержимое таблицы"/>
    <w:basedOn w:val="1"/>
    <w:autoRedefine/>
    <w:qFormat/>
    <w:uiPriority w:val="0"/>
    <w:pPr>
      <w:widowControl w:val="0"/>
      <w:suppressLineNumbers/>
      <w:suppressAutoHyphens/>
    </w:pPr>
    <w:rPr>
      <w:rFonts w:eastAsia="Lucida Sans Unicode" w:cs="Tahoma"/>
      <w:color w:val="000000"/>
      <w:sz w:val="24"/>
      <w:szCs w:val="24"/>
      <w:lang w:val="en-US" w:eastAsia="en-US" w:bidi="en-US"/>
    </w:rPr>
  </w:style>
  <w:style w:type="character" w:customStyle="1" w:styleId="27">
    <w:name w:val="Название Знак"/>
    <w:link w:val="14"/>
    <w:autoRedefine/>
    <w:qFormat/>
    <w:uiPriority w:val="0"/>
    <w:rPr>
      <w:b/>
      <w:bCs/>
      <w:sz w:val="24"/>
      <w:szCs w:val="24"/>
    </w:rPr>
  </w:style>
  <w:style w:type="paragraph" w:customStyle="1" w:styleId="28">
    <w:name w:val="Стандарт"/>
    <w:autoRedefine/>
    <w:qFormat/>
    <w:uiPriority w:val="0"/>
    <w:pPr>
      <w:widowControl w:val="0"/>
      <w:autoSpaceDE w:val="0"/>
      <w:autoSpaceDN w:val="0"/>
    </w:pPr>
    <w:rPr>
      <w:rFonts w:ascii="Times New Roman" w:hAnsi="Times New Roman" w:eastAsia="Calibri" w:cs="Times New Roman"/>
      <w:sz w:val="24"/>
      <w:szCs w:val="24"/>
      <w:lang w:val="ru-RU" w:eastAsia="ru-RU" w:bidi="ar-SA"/>
    </w:rPr>
  </w:style>
  <w:style w:type="paragraph" w:customStyle="1" w:styleId="29">
    <w:name w:val="Char"/>
    <w:basedOn w:val="1"/>
    <w:autoRedefine/>
    <w:qFormat/>
    <w:uiPriority w:val="0"/>
    <w:pPr>
      <w:spacing w:after="160" w:line="240" w:lineRule="exact"/>
    </w:pPr>
    <w:rPr>
      <w:rFonts w:ascii="Verdana" w:hAnsi="Verdana"/>
      <w:lang w:val="en-US" w:eastAsia="en-US"/>
    </w:rPr>
  </w:style>
  <w:style w:type="character" w:customStyle="1" w:styleId="30">
    <w:name w:val="Основной текст (7)_"/>
    <w:link w:val="31"/>
    <w:autoRedefine/>
    <w:qFormat/>
    <w:locked/>
    <w:uiPriority w:val="99"/>
    <w:rPr>
      <w:b/>
      <w:bCs/>
      <w:spacing w:val="10"/>
      <w:sz w:val="17"/>
      <w:szCs w:val="17"/>
      <w:shd w:val="clear" w:color="auto" w:fill="FFFFFF"/>
    </w:rPr>
  </w:style>
  <w:style w:type="paragraph" w:customStyle="1" w:styleId="31">
    <w:name w:val="Основной текст (7)"/>
    <w:basedOn w:val="1"/>
    <w:link w:val="30"/>
    <w:autoRedefine/>
    <w:qFormat/>
    <w:uiPriority w:val="99"/>
    <w:pPr>
      <w:widowControl w:val="0"/>
      <w:shd w:val="clear" w:color="auto" w:fill="FFFFFF"/>
      <w:spacing w:line="240" w:lineRule="atLeast"/>
      <w:ind w:firstLine="720"/>
      <w:jc w:val="both"/>
    </w:pPr>
    <w:rPr>
      <w:b/>
      <w:bCs/>
      <w:spacing w:val="10"/>
      <w:sz w:val="17"/>
      <w:szCs w:val="17"/>
    </w:rPr>
  </w:style>
  <w:style w:type="character" w:customStyle="1" w:styleId="32">
    <w:name w:val="Основной текст + Курсив"/>
    <w:autoRedefine/>
    <w:qFormat/>
    <w:uiPriority w:val="99"/>
    <w:rPr>
      <w:b/>
      <w:bCs/>
      <w:i/>
      <w:iCs/>
      <w:spacing w:val="10"/>
      <w:sz w:val="21"/>
      <w:szCs w:val="21"/>
      <w:shd w:val="clear" w:color="auto" w:fill="FFFFFF"/>
    </w:rPr>
  </w:style>
  <w:style w:type="character" w:customStyle="1" w:styleId="33">
    <w:name w:val="Основной текст + 13 pt"/>
    <w:autoRedefine/>
    <w:qFormat/>
    <w:uiPriority w:val="99"/>
    <w:rPr>
      <w:rFonts w:ascii="Times New Roman" w:hAnsi="Times New Roman" w:cs="Times New Roman"/>
      <w:b/>
      <w:bCs/>
      <w:spacing w:val="10"/>
      <w:w w:val="80"/>
      <w:sz w:val="26"/>
      <w:szCs w:val="26"/>
      <w:u w:val="none"/>
      <w:shd w:val="clear" w:color="auto" w:fill="FFFFFF"/>
    </w:rPr>
  </w:style>
  <w:style w:type="character" w:customStyle="1" w:styleId="34">
    <w:name w:val="Основной текст + Полужирный"/>
    <w:autoRedefine/>
    <w:qFormat/>
    <w:uiPriority w:val="99"/>
    <w:rPr>
      <w:rFonts w:ascii="Times New Roman" w:hAnsi="Times New Roman" w:cs="Times New Roman"/>
      <w:spacing w:val="10"/>
      <w:sz w:val="21"/>
      <w:szCs w:val="21"/>
      <w:u w:val="none"/>
      <w:shd w:val="clear" w:color="auto" w:fill="FFFFFF"/>
    </w:rPr>
  </w:style>
  <w:style w:type="character" w:customStyle="1" w:styleId="35">
    <w:name w:val="Основной текст + 10 pt"/>
    <w:qFormat/>
    <w:uiPriority w:val="99"/>
    <w:rPr>
      <w:rFonts w:ascii="Times New Roman" w:hAnsi="Times New Roman" w:cs="Times New Roman"/>
      <w:b/>
      <w:bCs/>
      <w:spacing w:val="10"/>
      <w:sz w:val="20"/>
      <w:szCs w:val="20"/>
      <w:u w:val="none"/>
      <w:shd w:val="clear" w:color="auto" w:fill="FFFFFF"/>
    </w:rPr>
  </w:style>
  <w:style w:type="character" w:customStyle="1" w:styleId="36">
    <w:name w:val="Заголовок №3_"/>
    <w:link w:val="37"/>
    <w:autoRedefine/>
    <w:qFormat/>
    <w:locked/>
    <w:uiPriority w:val="99"/>
    <w:rPr>
      <w:w w:val="80"/>
      <w:sz w:val="26"/>
      <w:szCs w:val="26"/>
      <w:shd w:val="clear" w:color="auto" w:fill="FFFFFF"/>
    </w:rPr>
  </w:style>
  <w:style w:type="paragraph" w:customStyle="1" w:styleId="37">
    <w:name w:val="Заголовок №3"/>
    <w:basedOn w:val="1"/>
    <w:link w:val="36"/>
    <w:qFormat/>
    <w:uiPriority w:val="99"/>
    <w:pPr>
      <w:widowControl w:val="0"/>
      <w:shd w:val="clear" w:color="auto" w:fill="FFFFFF"/>
      <w:spacing w:line="283" w:lineRule="exact"/>
      <w:jc w:val="both"/>
      <w:outlineLvl w:val="2"/>
    </w:pPr>
    <w:rPr>
      <w:w w:val="80"/>
      <w:sz w:val="26"/>
      <w:szCs w:val="26"/>
    </w:rPr>
  </w:style>
  <w:style w:type="paragraph" w:customStyle="1" w:styleId="38">
    <w:name w:val="Нижн. колонтитул"/>
    <w:qFormat/>
    <w:uiPriority w:val="0"/>
    <w:pPr>
      <w:tabs>
        <w:tab w:val="center" w:pos="4323"/>
        <w:tab w:val="right" w:pos="8640"/>
      </w:tabs>
    </w:pPr>
    <w:rPr>
      <w:rFonts w:ascii="Futura" w:hAnsi="Futura" w:eastAsia="ヒラギノ角ゴ Pro W3" w:cs="Times New Roman"/>
      <w:color w:val="000000"/>
      <w:sz w:val="16"/>
      <w:lang w:val="ru-RU" w:eastAsia="ru-RU" w:bidi="ar-SA"/>
    </w:rPr>
  </w:style>
  <w:style w:type="paragraph" w:styleId="39">
    <w:name w:val="No Spacing"/>
    <w:autoRedefine/>
    <w:qFormat/>
    <w:uiPriority w:val="1"/>
    <w:rPr>
      <w:rFonts w:ascii="Times New Roman" w:hAnsi="Times New Roman" w:eastAsia="Times New Roman" w:cs="Times New Roman"/>
      <w:lang w:val="ru-RU" w:eastAsia="ru-RU" w:bidi="ar-SA"/>
    </w:rPr>
  </w:style>
  <w:style w:type="character" w:customStyle="1" w:styleId="40">
    <w:name w:val="_Style 39"/>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SPecialiST RePack</Company>
  <Pages>6</Pages>
  <Words>2155</Words>
  <Characters>12286</Characters>
  <Lines>102</Lines>
  <Paragraphs>28</Paragraphs>
  <TotalTime>0</TotalTime>
  <ScaleCrop>false</ScaleCrop>
  <LinksUpToDate>false</LinksUpToDate>
  <CharactersWithSpaces>14413</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2024-03-07T06:05:00Z</dcterms:created>
  <dc:creator>-</dc:creator>
  <cp:lastModifiedBy>WPS_1702327974</cp:lastModifiedBy>
  <cp:lastPrinted>2019-09-05T08:00:00Z</cp:lastPrinted>
  <dcterms:modified xsi:type="dcterms:W3CDTF">2024-05-08T07:35:31Z</dcterms:modified>
  <dc:title>ДОГОВОР   ПОДРЯДА    №</dc:title>
  <cp:revision>6</cp:revision>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ED78D153EB964DD4A2B62FCA3163FDE3_13</vt:lpwstr>
  </property>
</Properties>
</file>