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FINAL CLAIM &amp; RELEASE</w:t>
      </w:r>
    </w:p>
    <w:p>
      <w:pPr>
        <w:spacing w:before="0" w:after="200"/>
        <w:jc w:val="center"/>
      </w:pPr>
      <w:r>
        <w:rPr>
          <w:rFonts w:ascii="Cambria" w:cs="Cambria" w:eastAsia="Cambria" w:hAnsi="Cambria"/>
          <w:i/>
          <w:iCs/>
          <w:sz w:val="22"/>
          <w:szCs w:val="22"/>
        </w:rPr>
        <w:t xml:space="preserve">Final Account Settlement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FINAL ACCOUNT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26"/>
      </w:tblGrid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Original Contract Sum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>$[CONTRACT_SUM_EX_GST]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Approved Variations (net):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Adjusted Contract Sum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Total Previously Claimed: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Retention Held: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Final Claim Amount (excl. GST):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GST (10%):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$</w:t>
            </w:r>
          </w:p>
        </w:tc>
      </w:tr>
      <w:tr>
        <w:tc>
          <w:tcPr>
            <w:tcW w:type="dxa" w:w="6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TOTAL FINAL AMOUNT DUE (incl. GST)</w:t>
            </w:r>
          </w:p>
        </w:tc>
        <w:tc>
          <w:tcPr>
            <w:tcW w:type="dxa" w:w="3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$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RELEASE &amp; ACKNOWLEDGEMENT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1. The Builder confirms that all contractual works, including approved variations, have been completed.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2. Upon receipt of final payment, the Builder releases the Client from all further claims under this contract.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3. This release does not affect warranty obligations or defects liability provisions.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4. Both parties confirm the final account balance is as stated above.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5. The Defects Liability Period commences from the date of Practical Completion.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Builder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2026-02-06T11:10:47.521Z</dcterms:created>
  <dcterms:modified xsi:type="dcterms:W3CDTF">2026-02-06T11:10:47.521Z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