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FINAL CLAIM &amp; RELEASE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Final Account Settlement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FINAL ACCOUNT SUMMARY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Original Contract Sum (excl. GST):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>$[CONTRACT_SUM_EX_GST]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Approved Variations (net):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Adjusted Contract Sum (excl. GST):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Total Previously Claimed: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Retention Held: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Final Claim Amount (excl. GST):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GST (10%):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TOTAL FINAL AMOUNT DUE (incl. GST)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$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RELEASE &amp; ACKNOWLEDGEMENT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1. The Builder confirms that all contractual works, including approved variations, have been completed.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2. Upon receipt of final payment, the Builder releases the Client from all further claims under this contract.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3. This release does not affect warranty obligations or defects liability provisions.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4. Both parties confirm the final account balance is as stated above.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5. The Defects Liability Period commences from the date of Practical Completion.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Builder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2026-02-06T11:10:47.521Z</dcterms:created>
  <dcterms:modified xsi:type="dcterms:W3CDTF">2026-02-06T11:10:47.521Z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