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List of parameters which we need to decide for the OEMOF model: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Type of battery (as discussed with Guido, the argument </w:t>
      </w:r>
      <w:r w:rsidDel="00000000" w:rsidR="00000000" w:rsidRPr="00000000">
        <w:rPr>
          <w:i w:val="1"/>
          <w:rtl w:val="0"/>
        </w:rPr>
        <w:t xml:space="preserve">invest_relation_input_capacity</w:t>
      </w:r>
      <w:r w:rsidDel="00000000" w:rsidR="00000000" w:rsidRPr="00000000">
        <w:rPr>
          <w:rtl w:val="0"/>
        </w:rPr>
        <w:t xml:space="preserve"> is very important in investment optimization and we need to decide which battery we are going to use in order to choose a value for this parameter)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Values for battery storage costs, lifetime and WACC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Technical parameters for the battery like inflow and outflow conversion rates, loss rate and initial storage level (this last parameter we can also let OEMOF decide it)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Costs and lifetime for the PV modules to decide the CAPEX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PV feed-in time-series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Maximum allowed PV capacity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Demand profile time-series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