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Proposal C</w:t>
      </w:r>
    </w:p>
    <w:p>
      <w:pPr>
        <w:pStyle w:val="Heading2"/>
      </w:pPr>
      <w:r>
        <w:t>Security Uplift Programme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Vendor</w:t>
            </w:r>
          </w:p>
        </w:tc>
        <w:tc>
          <w:tcPr>
            <w:tcW w:type="dxa" w:w="4320"/>
          </w:tcPr>
          <w:p>
            <w:r>
              <w:t>ShieldTech Cybersecurity Ltd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STC-2026-SEC-019</w:t>
            </w:r>
          </w:p>
        </w:tc>
      </w:tr>
      <w:tr>
        <w:tc>
          <w:tcPr>
            <w:tcW w:type="dxa" w:w="4320"/>
          </w:tcPr>
          <w:p>
            <w:r>
              <w:t>Submitted</w:t>
            </w:r>
          </w:p>
        </w:tc>
        <w:tc>
          <w:tcPr>
            <w:tcW w:type="dxa" w:w="4320"/>
          </w:tcPr>
          <w:p>
            <w:r>
              <w:t>2026-08-20</w:t>
            </w:r>
          </w:p>
        </w:tc>
      </w:tr>
      <w:tr>
        <w:tc>
          <w:tcPr>
            <w:tcW w:type="dxa" w:w="4320"/>
          </w:tcPr>
          <w:p>
            <w:r>
              <w:t>Contact</w:t>
            </w:r>
          </w:p>
        </w:tc>
        <w:tc>
          <w:tcPr>
            <w:tcW w:type="dxa" w:w="4320"/>
          </w:tcPr>
          <w:p>
            <w:r>
              <w:t>enterprise@shieldtech.example</w:t>
            </w:r>
          </w:p>
        </w:tc>
      </w:tr>
      <w:tr>
        <w:tc>
          <w:tcPr>
            <w:tcW w:type="dxa" w:w="4320"/>
          </w:tcPr>
          <w:p>
            <w:r>
              <w:t>Programme Type</w:t>
            </w:r>
          </w:p>
        </w:tc>
        <w:tc>
          <w:tcPr>
            <w:tcW w:type="dxa" w:w="4320"/>
          </w:tcPr>
          <w:p>
            <w:r>
              <w:t>Fixed-Price Managed Security Services</w:t>
            </w:r>
          </w:p>
        </w:tc>
      </w:tr>
    </w:tbl>
    <w:p>
      <w:r>
        <w:br w:type="page"/>
      </w:r>
    </w:p>
    <w:p>
      <w:pPr>
        <w:pStyle w:val="Heading2"/>
      </w:pPr>
      <w:r>
        <w:t>1. Executive Overview</w:t>
      </w:r>
    </w:p>
    <w:p>
      <w:r>
        <w:rPr>
          <w:b w:val="0"/>
          <w:i w:val="0"/>
        </w:rPr>
        <w:t>ShieldTech proposes a focused 9-month Security Uplift Programme to address the two Critical and four High findings identified in your Q2 2026 penetration test. The programme delivers a certified, compliance-ready security baseline — a prerequisite for any subsequent cloud migration or AI platform deployment.</w:t>
      </w:r>
    </w:p>
    <w:p>
      <w:pPr>
        <w:pStyle w:val="Heading2"/>
      </w:pPr>
      <w:r>
        <w:t>2. Scope of 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</w:tr>
      <w:tr>
        <w:tc>
          <w:tcPr>
            <w:tcW w:type="dxa" w:w="2880"/>
          </w:tcPr>
          <w:p>
            <w:r>
              <w:t>Phase 1 — Remediation</w:t>
            </w:r>
          </w:p>
        </w:tc>
        <w:tc>
          <w:tcPr>
            <w:tcW w:type="dxa" w:w="2880"/>
          </w:tcPr>
          <w:p>
            <w:r>
              <w:t>Months 1–3</w:t>
            </w:r>
          </w:p>
        </w:tc>
        <w:tc>
          <w:tcPr>
            <w:tcW w:type="dxa" w:w="2880"/>
          </w:tcPr>
          <w:p>
            <w:r>
              <w:t>Patch Critical/High pentest findings, access control audit, MFA rollout</w:t>
            </w:r>
          </w:p>
        </w:tc>
      </w:tr>
      <w:tr>
        <w:tc>
          <w:tcPr>
            <w:tcW w:type="dxa" w:w="2880"/>
          </w:tcPr>
          <w:p>
            <w:r>
              <w:t>Phase 2 — Hardening</w:t>
            </w:r>
          </w:p>
        </w:tc>
        <w:tc>
          <w:tcPr>
            <w:tcW w:type="dxa" w:w="2880"/>
          </w:tcPr>
          <w:p>
            <w:r>
              <w:t>Months 4–6</w:t>
            </w:r>
          </w:p>
        </w:tc>
        <w:tc>
          <w:tcPr>
            <w:tcW w:type="dxa" w:w="2880"/>
          </w:tcPr>
          <w:p>
            <w:r>
              <w:t>Network segmentation, endpoint detection, SIEM integration</w:t>
            </w:r>
          </w:p>
        </w:tc>
      </w:tr>
      <w:tr>
        <w:tc>
          <w:tcPr>
            <w:tcW w:type="dxa" w:w="2880"/>
          </w:tcPr>
          <w:p>
            <w:r>
              <w:t>Phase 3 — Governance &amp; Certification</w:t>
            </w:r>
          </w:p>
        </w:tc>
        <w:tc>
          <w:tcPr>
            <w:tcW w:type="dxa" w:w="2880"/>
          </w:tcPr>
          <w:p>
            <w:r>
              <w:t>Months 7–9</w:t>
            </w:r>
          </w:p>
        </w:tc>
        <w:tc>
          <w:tcPr>
            <w:tcW w:type="dxa" w:w="2880"/>
          </w:tcPr>
          <w:p>
            <w:r>
              <w:t>ISO 27001 gap close, SOC 2 Type II readiness report, staff training</w:t>
            </w:r>
          </w:p>
        </w:tc>
      </w:tr>
    </w:tbl>
    <w:p/>
    <w:p>
      <w:pPr>
        <w:pStyle w:val="Heading2"/>
      </w:pPr>
      <w:r>
        <w:t>3. Financial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Cost (USD)</w:t>
            </w:r>
          </w:p>
        </w:tc>
      </w:tr>
      <w:tr>
        <w:tc>
          <w:tcPr>
            <w:tcW w:type="dxa" w:w="4320"/>
          </w:tcPr>
          <w:p>
            <w:r>
              <w:t>Phase 1 — Remediation</w:t>
            </w:r>
          </w:p>
        </w:tc>
        <w:tc>
          <w:tcPr>
            <w:tcW w:type="dxa" w:w="4320"/>
          </w:tcPr>
          <w:p>
            <w:r>
              <w:t>\,000</w:t>
            </w:r>
          </w:p>
        </w:tc>
      </w:tr>
      <w:tr>
        <w:tc>
          <w:tcPr>
            <w:tcW w:type="dxa" w:w="4320"/>
          </w:tcPr>
          <w:p>
            <w:r>
              <w:t>Phase 2 — Hardening</w:t>
            </w:r>
          </w:p>
        </w:tc>
        <w:tc>
          <w:tcPr>
            <w:tcW w:type="dxa" w:w="4320"/>
          </w:tcPr>
          <w:p>
            <w:r>
              <w:t>\,000</w:t>
            </w:r>
          </w:p>
        </w:tc>
      </w:tr>
      <w:tr>
        <w:tc>
          <w:tcPr>
            <w:tcW w:type="dxa" w:w="4320"/>
          </w:tcPr>
          <w:p>
            <w:r>
              <w:t>Phase 3 — Governance &amp; Certification</w:t>
            </w:r>
          </w:p>
        </w:tc>
        <w:tc>
          <w:tcPr>
            <w:tcW w:type="dxa" w:w="4320"/>
          </w:tcPr>
          <w:p>
            <w:r>
              <w:t>\,000</w:t>
            </w:r>
          </w:p>
        </w:tc>
      </w:tr>
      <w:tr>
        <w:tc>
          <w:tcPr>
            <w:tcW w:type="dxa" w:w="4320"/>
          </w:tcPr>
          <w:p>
            <w:r>
              <w:t>Total Programme Cost (Fixed-Price)</w:t>
            </w:r>
          </w:p>
        </w:tc>
        <w:tc>
          <w:tcPr>
            <w:tcW w:type="dxa" w:w="4320"/>
          </w:tcPr>
          <w:p>
            <w:r>
              <w:t>\,400,000</w:t>
            </w:r>
          </w:p>
        </w:tc>
      </w:tr>
      <w:tr>
        <w:tc>
          <w:tcPr>
            <w:tcW w:type="dxa" w:w="4320"/>
          </w:tcPr>
          <w:p>
            <w:r>
              <w:t>Annual Support &amp; Monitoring (post-programme)</w:t>
            </w:r>
          </w:p>
        </w:tc>
        <w:tc>
          <w:tcPr>
            <w:tcW w:type="dxa" w:w="4320"/>
          </w:tcPr>
          <w:p>
            <w:r>
              <w:t>\,000/yr</w:t>
            </w:r>
          </w:p>
        </w:tc>
      </w:tr>
    </w:tbl>
    <w:p/>
    <w:p>
      <w:r>
        <w:rPr>
          <w:b w:val="0"/>
          <w:i/>
        </w:rPr>
        <w:t>Payment model: fixed-price milestones — no overrun exposure. Invoiced at Phase completion: 30% / 40% / 30%.</w:t>
      </w:r>
    </w:p>
    <w:p/>
    <w:p>
      <w:pPr>
        <w:pStyle w:val="Heading2"/>
      </w:pPr>
      <w:r>
        <w:t>4. Key Benefits</w:t>
      </w:r>
    </w:p>
    <w:p>
      <w:pPr>
        <w:pStyle w:val="ListBullet"/>
      </w:pPr>
      <w:r>
        <w:t>Resolves 100% of Critical and High findings from Q2 penetration test</w:t>
      </w:r>
    </w:p>
    <w:p>
      <w:pPr>
        <w:pStyle w:val="ListBullet"/>
      </w:pPr>
      <w:r>
        <w:t>Estimated 18% reduction in cyber insurance premiums post-certification</w:t>
      </w:r>
    </w:p>
    <w:p>
      <w:pPr>
        <w:pStyle w:val="ListBullet"/>
      </w:pPr>
      <w:r>
        <w:t>ISO 27001 + SOC 2 Type II readiness — required for regulated financial-services operations</w:t>
      </w:r>
    </w:p>
    <w:p>
      <w:pPr>
        <w:pStyle w:val="ListBullet"/>
      </w:pPr>
      <w:r>
        <w:t>Establishes security baseline enabling safe cloud migration and AI platform deployment</w:t>
      </w:r>
    </w:p>
    <w:p>
      <w:pPr>
        <w:pStyle w:val="ListBullet"/>
      </w:pPr>
      <w:r>
        <w:t>Fixed-price contract: zero budget overrun risk</w:t>
      </w:r>
    </w:p>
    <w:p>
      <w:pPr>
        <w:pStyle w:val="ListBullet"/>
      </w:pPr>
      <w:r>
        <w:t>9-month delivery — fastest time-to-value of the three proposals</w:t>
      </w:r>
    </w:p>
    <w:p/>
    <w:p>
      <w:pPr>
        <w:pStyle w:val="Heading2"/>
      </w:pPr>
      <w:r>
        <w:t>5. Risk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Likelihood</w:t>
            </w:r>
          </w:p>
        </w:tc>
        <w:tc>
          <w:tcPr>
            <w:tcW w:type="dxa" w:w="2160"/>
          </w:tcPr>
          <w:p>
            <w:r>
              <w:t>Impact</w:t>
            </w:r>
          </w:p>
        </w:tc>
        <w:tc>
          <w:tcPr>
            <w:tcW w:type="dxa" w:w="2160"/>
          </w:tcPr>
          <w:p>
            <w:r>
              <w:t>Mitigation</w:t>
            </w:r>
          </w:p>
        </w:tc>
      </w:tr>
      <w:tr>
        <w:tc>
          <w:tcPr>
            <w:tcW w:type="dxa" w:w="2160"/>
          </w:tcPr>
          <w:p>
            <w:r>
              <w:t>Remediation scope creep if additional findings surface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Phase 1 includes full discovery scan before committing to fix list</w:t>
            </w:r>
          </w:p>
        </w:tc>
      </w:tr>
      <w:tr>
        <w:tc>
          <w:tcPr>
            <w:tcW w:type="dxa" w:w="2160"/>
          </w:tcPr>
          <w:p>
            <w:r>
              <w:t>Staff availability for training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Self-paced modules; minimum 4 hours per staff member</w:t>
            </w:r>
          </w:p>
        </w:tc>
      </w:tr>
      <w:tr>
        <w:tc>
          <w:tcPr>
            <w:tcW w:type="dxa" w:w="2160"/>
          </w:tcPr>
          <w:p>
            <w:r>
              <w:t>Audit timeline dependency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Certification body booked — slot secured for Month 9</w:t>
            </w:r>
          </w:p>
        </w:tc>
      </w:tr>
    </w:tbl>
    <w:p/>
    <w:p>
      <w:pPr>
        <w:pStyle w:val="Heading2"/>
      </w:pPr>
      <w:r>
        <w:t>6. Vendor Credentials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Certifications</w:t>
            </w:r>
          </w:p>
        </w:tc>
        <w:tc>
          <w:tcPr>
            <w:tcW w:type="dxa" w:w="4320"/>
          </w:tcPr>
          <w:p>
            <w:r>
              <w:t>ISO 27001 · SOC 2 Type II · CREST · PCI DSS QSA</w:t>
            </w:r>
          </w:p>
        </w:tc>
      </w:tr>
      <w:tr>
        <w:tc>
          <w:tcPr>
            <w:tcW w:type="dxa" w:w="4320"/>
          </w:tcPr>
          <w:p>
            <w:r>
              <w:t>Industries served</w:t>
            </w:r>
          </w:p>
        </w:tc>
        <w:tc>
          <w:tcPr>
            <w:tcW w:type="dxa" w:w="4320"/>
          </w:tcPr>
          <w:p>
            <w:r>
              <w:t>Financial services, healthcare, government</w:t>
            </w:r>
          </w:p>
        </w:tc>
      </w:tr>
      <w:tr>
        <w:tc>
          <w:tcPr>
            <w:tcW w:type="dxa" w:w="4320"/>
          </w:tcPr>
          <w:p>
            <w:r>
              <w:t>Pentest remediations completed (2024–2025)</w:t>
            </w:r>
          </w:p>
        </w:tc>
        <w:tc>
          <w:tcPr>
            <w:tcW w:type="dxa" w:w="4320"/>
          </w:tcPr>
          <w:p>
            <w:r>
              <w:t>47 enterprise engagements</w:t>
            </w:r>
          </w:p>
        </w:tc>
      </w:tr>
      <w:tr>
        <w:tc>
          <w:tcPr>
            <w:tcW w:type="dxa" w:w="4320"/>
          </w:tcPr>
          <w:p>
            <w:r>
              <w:t>Client retention rate</w:t>
            </w:r>
          </w:p>
        </w:tc>
        <w:tc>
          <w:tcPr>
            <w:tcW w:type="dxa" w:w="4320"/>
          </w:tcPr>
          <w:p>
            <w:r>
              <w:t>94%</w:t>
            </w:r>
          </w:p>
        </w:tc>
      </w:tr>
      <w:tr>
        <w:tc>
          <w:tcPr>
            <w:tcW w:type="dxa" w:w="4320"/>
          </w:tcPr>
          <w:p>
            <w:r>
              <w:t>References</w:t>
            </w:r>
          </w:p>
        </w:tc>
        <w:tc>
          <w:tcPr>
            <w:tcW w:type="dxa" w:w="4320"/>
          </w:tcPr>
          <w:p>
            <w:r>
              <w:t>4 financial-services clients — available on request</w:t>
            </w:r>
          </w:p>
        </w:tc>
      </w:tr>
    </w:tbl>
    <w:p/>
    <w:p>
      <w:pPr>
        <w:pStyle w:val="Heading2"/>
      </w:pPr>
      <w:r>
        <w:t>7. Prerequisite Note</w:t>
      </w:r>
    </w:p>
    <w:p>
      <w:r>
        <w:rPr>
          <w:b w:val="0"/>
          <w:i w:val="0"/>
        </w:rPr>
        <w:t>ShieldTech recommends this programme is executed before committing to cloud migration or AI platform deployment. Migrating a non-compliant security estate into a hyperscaler environment or an AI platform creates compounded audit risk. The Security Uplift Programme eliminates that risk at the lowest cost and fastest timeline of the three proposals under consideration.</w:t>
      </w:r>
    </w:p>
    <w:p/>
    <w:p>
      <w:pPr>
        <w:pStyle w:val="Heading2"/>
      </w:pPr>
      <w:r>
        <w:t>8. Vendor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Authorised by</w:t>
            </w:r>
          </w:p>
        </w:tc>
        <w:tc>
          <w:tcPr>
            <w:tcW w:type="dxa" w:w="4320"/>
          </w:tcPr>
          <w:p>
            <w:r>
              <w:t>Marcus Webb — Head of Enterprise Sales, ShieldTech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20 August 2026</w:t>
            </w:r>
          </w:p>
        </w:tc>
      </w:tr>
      <w:tr>
        <w:tc>
          <w:tcPr>
            <w:tcW w:type="dxa" w:w="4320"/>
          </w:tcPr>
          <w:p>
            <w:r>
              <w:t>Valid until</w:t>
            </w:r>
          </w:p>
        </w:tc>
        <w:tc>
          <w:tcPr>
            <w:tcW w:type="dxa" w:w="4320"/>
          </w:tcPr>
          <w:p>
            <w:r>
              <w:t>20 September 2026</w:t>
            </w:r>
          </w:p>
        </w:tc>
      </w:tr>
      <w:tr>
        <w:tc>
          <w:tcPr>
            <w:tcW w:type="dxa" w:w="4320"/>
          </w:tcPr>
          <w:p>
            <w:r>
              <w:t>Signature</w:t>
            </w:r>
          </w:p>
        </w:tc>
        <w:tc>
          <w:tcPr>
            <w:tcW w:type="dxa" w:w="4320"/>
          </w:tcPr>
          <w:p>
            <w:r>
              <w:t>[ wet signature on printed copy 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