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C4" w:rsidRPr="002E4FC4" w:rsidRDefault="002E4FC4" w:rsidP="002E4FC4">
      <w:pPr>
        <w:jc w:val="both"/>
        <w:rPr>
          <w:rStyle w:val="fontstyle01"/>
          <w:sz w:val="28"/>
        </w:rPr>
      </w:pP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Implementacja i analiza efektywności algorytmów optymalnych</w:t>
      </w:r>
      <w:r w:rsidRPr="002E4FC4">
        <w:rPr>
          <w:rFonts w:ascii="Courier New" w:hAnsi="Courier New" w:cs="Courier New"/>
          <w:b/>
          <w:bCs/>
          <w:color w:val="000000"/>
        </w:rPr>
        <w:br/>
      </w: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o pseudowielomianowej złożoności obliczeniowej dla wybranych</w:t>
      </w:r>
      <w:r w:rsidRPr="002E4FC4">
        <w:rPr>
          <w:rFonts w:ascii="Courier New" w:hAnsi="Courier New" w:cs="Courier New"/>
          <w:b/>
          <w:bCs/>
          <w:color w:val="000000"/>
        </w:rPr>
        <w:br/>
      </w:r>
      <w:r w:rsidRPr="002E4FC4">
        <w:rPr>
          <w:rFonts w:ascii="Courier New" w:hAnsi="Courier New" w:cs="Courier New"/>
          <w:b/>
          <w:bCs/>
          <w:color w:val="000000"/>
          <w:sz w:val="24"/>
          <w:szCs w:val="24"/>
        </w:rPr>
        <w:t>problemów kombinatorycznych</w:t>
      </w:r>
    </w:p>
    <w:p w:rsidR="000D0FD4" w:rsidRDefault="000D0FD4" w:rsidP="000D0FD4">
      <w:pPr>
        <w:pStyle w:val="Nagwek1"/>
        <w:numPr>
          <w:ilvl w:val="0"/>
          <w:numId w:val="1"/>
        </w:numPr>
      </w:pPr>
      <w:r>
        <w:t>Plan pomiarów</w:t>
      </w:r>
    </w:p>
    <w:p w:rsidR="00CA61C4" w:rsidRDefault="00CA61C4" w:rsidP="00EB18E0">
      <w:pPr>
        <w:pStyle w:val="Nagwek2"/>
        <w:numPr>
          <w:ilvl w:val="1"/>
          <w:numId w:val="1"/>
        </w:numPr>
      </w:pPr>
      <w:r>
        <w:t xml:space="preserve">Generowanie </w:t>
      </w:r>
      <w:r w:rsidR="002E4FC4">
        <w:t>przedmiotów do wyboru</w:t>
      </w:r>
    </w:p>
    <w:p w:rsidR="00BF76B3" w:rsidRDefault="002E4FC4" w:rsidP="00A756BF">
      <w:pPr>
        <w:pStyle w:val="Akapitzlist"/>
        <w:ind w:left="1134"/>
      </w:pPr>
      <w:r>
        <w:t>Aby zagwarantować aby sumaryczny rozmiar</w:t>
      </w:r>
      <w:r w:rsidR="00334406">
        <w:t xml:space="preserve"> </w:t>
      </w:r>
      <w:r>
        <w:t xml:space="preserve">przedmiotów </w:t>
      </w:r>
      <w:r w:rsidR="00334406">
        <w:t xml:space="preserve">w każdej instancji problemu </w:t>
      </w:r>
      <w:r>
        <w:t>był większy niż pojemność plecaka (min. 25%),</w:t>
      </w:r>
      <w:r w:rsidR="00334406">
        <w:t xml:space="preserve"> pod koniec każdego losowania program obliczał ich stosunek, jeśli był mniejszy niż 1.25 zwiększał zakres wag jakie losował przedmiotom i ponawiał losowanie.</w:t>
      </w:r>
    </w:p>
    <w:p w:rsidR="00E153AE" w:rsidRDefault="00E153AE" w:rsidP="00EB18E0">
      <w:pPr>
        <w:pStyle w:val="Nagwek2"/>
        <w:numPr>
          <w:ilvl w:val="1"/>
          <w:numId w:val="1"/>
        </w:numPr>
      </w:pPr>
      <w:r>
        <w:t>Metoda pomiaru czasu</w:t>
      </w:r>
      <w:r w:rsidR="00184870">
        <w:t xml:space="preserve"> i platforma testowa</w:t>
      </w:r>
    </w:p>
    <w:p w:rsidR="00A66021" w:rsidRDefault="00E153AE" w:rsidP="000942A9">
      <w:pPr>
        <w:ind w:left="1080"/>
      </w:pPr>
      <w:r>
        <w:t xml:space="preserve">Do pomiaru czasu użyto funkcji </w:t>
      </w:r>
      <w:proofErr w:type="spellStart"/>
      <w:r w:rsidRPr="00E153AE">
        <w:t>QueryPerformanceCounter</w:t>
      </w:r>
      <w:proofErr w:type="spellEnd"/>
      <w:r w:rsidR="00184870">
        <w:t>.</w:t>
      </w:r>
      <w:r w:rsidR="00184870">
        <w:br/>
        <w:t xml:space="preserve">Program kompilowana w trybie </w:t>
      </w:r>
      <w:proofErr w:type="spellStart"/>
      <w:r w:rsidR="009F723D">
        <w:t>realease</w:t>
      </w:r>
      <w:proofErr w:type="spellEnd"/>
      <w:r w:rsidR="00184870">
        <w:t>(</w:t>
      </w:r>
      <w:r w:rsidR="009F723D">
        <w:t>optymalizacja o2</w:t>
      </w:r>
      <w:r w:rsidR="00184870">
        <w:t>) w Visual Studio 2015.</w:t>
      </w:r>
      <w:r w:rsidR="00184870">
        <w:br/>
        <w:t xml:space="preserve">Testy przeprowadzano na laptopie z procesorem Intel </w:t>
      </w:r>
      <w:proofErr w:type="spellStart"/>
      <w:r w:rsidR="00184870">
        <w:t>Core</w:t>
      </w:r>
      <w:proofErr w:type="spellEnd"/>
      <w:r w:rsidR="00184870">
        <w:t xml:space="preserve"> i7-4720HQ, 6MB cache, </w:t>
      </w:r>
      <w:r w:rsidR="00F81334" w:rsidRPr="00F81334">
        <w:t>z</w:t>
      </w:r>
      <w:r w:rsidR="00F81334">
        <w:t> </w:t>
      </w:r>
      <w:r w:rsidR="00184870" w:rsidRPr="00F81334">
        <w:t>taktowanie</w:t>
      </w:r>
      <w:r w:rsidR="00F81334" w:rsidRPr="00F81334">
        <w:t>m</w:t>
      </w:r>
      <w:r w:rsidR="00184870">
        <w:t xml:space="preserve"> </w:t>
      </w:r>
      <w:r w:rsidR="009F723D">
        <w:t xml:space="preserve">ograniczone do </w:t>
      </w:r>
      <w:r w:rsidR="00184870">
        <w:t>2,6 GHz</w:t>
      </w:r>
      <w:r w:rsidR="00D3603C">
        <w:t>.</w:t>
      </w:r>
    </w:p>
    <w:p w:rsidR="00D3603C" w:rsidRDefault="00D3603C" w:rsidP="000942A9">
      <w:pPr>
        <w:ind w:left="1080"/>
      </w:pPr>
      <w:r>
        <w:t>Wszystkie pomiary zostały wykonane na 100 losowych instancjach problemu, chyba że obok wyników zostało napisane inaczej(dot. przeglądu zupełnego).</w:t>
      </w:r>
    </w:p>
    <w:p w:rsidR="00013D57" w:rsidRPr="00013D57" w:rsidRDefault="00013D57" w:rsidP="00013D57">
      <w:pPr>
        <w:ind w:left="372" w:firstLine="708"/>
      </w:pPr>
    </w:p>
    <w:p w:rsidR="00A97E4E" w:rsidRPr="00A97E4E" w:rsidRDefault="00A97E4E" w:rsidP="00A97E4E">
      <w:pPr>
        <w:ind w:left="993"/>
      </w:pPr>
    </w:p>
    <w:p w:rsidR="00BC6133" w:rsidRDefault="00A97E4E" w:rsidP="00A97E4E">
      <w:pPr>
        <w:spacing w:before="240"/>
        <w:ind w:left="1416"/>
      </w:pPr>
      <w:r w:rsidRPr="00A97E4E">
        <w:br/>
      </w:r>
      <w:r w:rsidRPr="00A97E4E">
        <w:br/>
        <w:t xml:space="preserve"> </w:t>
      </w:r>
    </w:p>
    <w:p w:rsidR="00BC6133" w:rsidRDefault="00BC6133">
      <w:r>
        <w:br w:type="page"/>
      </w:r>
    </w:p>
    <w:p w:rsidR="00BC6133" w:rsidRDefault="003D16C6" w:rsidP="00BC6133">
      <w:pPr>
        <w:pStyle w:val="Nagwek1"/>
        <w:numPr>
          <w:ilvl w:val="0"/>
          <w:numId w:val="1"/>
        </w:numPr>
      </w:pPr>
      <w:r>
        <w:lastRenderedPageBreak/>
        <w:t>Przegląd zupełny</w:t>
      </w:r>
      <w:r w:rsidR="00DA5932">
        <w:t>(</w:t>
      </w:r>
      <w:proofErr w:type="spellStart"/>
      <w:r w:rsidR="00DA5932">
        <w:t>bruteforce</w:t>
      </w:r>
      <w:proofErr w:type="spellEnd"/>
      <w:r w:rsidR="00DA5932">
        <w:t>)</w:t>
      </w:r>
    </w:p>
    <w:p w:rsidR="00D3603C" w:rsidRDefault="00D3603C" w:rsidP="00D3603C">
      <w:pPr>
        <w:pStyle w:val="Nagwek2"/>
        <w:numPr>
          <w:ilvl w:val="1"/>
          <w:numId w:val="1"/>
        </w:numPr>
      </w:pPr>
      <w:r>
        <w:t>Złożoność</w:t>
      </w:r>
      <w:r>
        <w:t xml:space="preserve"> </w:t>
      </w:r>
      <w:r>
        <w:t>obliczeniowa i implementacja</w:t>
      </w:r>
    </w:p>
    <w:p w:rsidR="00C21F60" w:rsidRDefault="00C21F60" w:rsidP="00C21F60">
      <w:pPr>
        <w:ind w:left="708"/>
      </w:pPr>
      <w:r>
        <w:t>Złożoność obliczeniowa wynosi O(2</w:t>
      </w:r>
      <w:r>
        <w:rPr>
          <w:vertAlign w:val="superscript"/>
        </w:rPr>
        <w:t>n</w:t>
      </w:r>
      <w:r>
        <w:t>) ponieważ tyle jest możliwych kombinacji 0-1 dla n przedmiotów. Pojemność plecaka nie ma znaczenia. Wyniki pomiarów pokrywają się z teorią.</w:t>
      </w:r>
      <w:r>
        <w:br/>
        <w:t xml:space="preserve">W mojej implementacji nie użyłem rekurencji, zamiast tego inkrementuję wektor </w:t>
      </w:r>
      <w:proofErr w:type="spellStart"/>
      <w:r>
        <w:t>booleanów</w:t>
      </w:r>
      <w:proofErr w:type="spellEnd"/>
      <w:r>
        <w:t>.</w:t>
      </w:r>
    </w:p>
    <w:p w:rsidR="00D3603C" w:rsidRDefault="00D3603C" w:rsidP="00D3603C">
      <w:pPr>
        <w:pStyle w:val="Nagwek2"/>
        <w:numPr>
          <w:ilvl w:val="1"/>
          <w:numId w:val="1"/>
        </w:numPr>
      </w:pPr>
      <w:r>
        <w:t>Wyniki pomiarów</w:t>
      </w:r>
    </w:p>
    <w:p w:rsidR="00D3603C" w:rsidRDefault="00D3603C" w:rsidP="00D3603C">
      <w:pPr>
        <w:pStyle w:val="Akapitzlist"/>
      </w:pPr>
      <w:r>
        <w:t xml:space="preserve">Ze względu nas </w:t>
      </w:r>
      <w:r>
        <w:t xml:space="preserve">bardzo </w:t>
      </w:r>
      <w:r>
        <w:t>długi czas wykonania, pomiary dla plecaka o pojemności 28 litrów wykonano tylko 32-krotnie, a dla 32 i 36 l – jednokrotnie.</w:t>
      </w:r>
    </w:p>
    <w:p w:rsidR="00D3603C" w:rsidRPr="00D3603C" w:rsidRDefault="00D3603C" w:rsidP="00D3603C"/>
    <w:tbl>
      <w:tblPr>
        <w:tblW w:w="98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1042"/>
        <w:gridCol w:w="754"/>
        <w:gridCol w:w="1042"/>
        <w:gridCol w:w="1107"/>
        <w:gridCol w:w="1250"/>
        <w:gridCol w:w="1395"/>
        <w:gridCol w:w="1747"/>
      </w:tblGrid>
      <w:tr w:rsidR="004179A3" w:rsidRPr="004179A3" w:rsidTr="004179A3">
        <w:trPr>
          <w:trHeight w:val="300"/>
        </w:trPr>
        <w:tc>
          <w:tcPr>
            <w:tcW w:w="982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9A3">
              <w:rPr>
                <w:rFonts w:ascii="Calibri" w:eastAsia="Times New Roman" w:hAnsi="Calibri" w:cs="Calibri"/>
                <w:color w:val="000000"/>
                <w:sz w:val="21"/>
              </w:rPr>
              <w:t>Tabela 1. Zależność Pojemności plecaka i ilości przedmioty na czas wykonywania przeglądu zupełnego, czas w ms</w:t>
            </w:r>
          </w:p>
        </w:tc>
      </w:tr>
      <w:tr w:rsidR="003C15B8" w:rsidRPr="004179A3" w:rsidTr="003C15B8">
        <w:trPr>
          <w:trHeight w:val="300"/>
        </w:trPr>
        <w:tc>
          <w:tcPr>
            <w:tcW w:w="148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Poj</w:t>
            </w:r>
            <w:proofErr w:type="spellEnd"/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\</w:t>
            </w:r>
            <w:proofErr w:type="spellStart"/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il</w:t>
            </w:r>
            <w:proofErr w:type="spellEnd"/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. przed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75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2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13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17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36</w:t>
            </w:r>
          </w:p>
        </w:tc>
      </w:tr>
      <w:tr w:rsidR="004179A3" w:rsidRPr="004179A3" w:rsidTr="004179A3">
        <w:trPr>
          <w:trHeight w:val="300"/>
        </w:trPr>
        <w:tc>
          <w:tcPr>
            <w:tcW w:w="148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0,39315    </w:t>
            </w:r>
          </w:p>
        </w:tc>
        <w:tc>
          <w:tcPr>
            <w:tcW w:w="75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6,992    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123,281    </w:t>
            </w:r>
          </w:p>
        </w:tc>
        <w:tc>
          <w:tcPr>
            <w:tcW w:w="11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2 169,46    </w:t>
            </w:r>
          </w:p>
        </w:tc>
        <w:tc>
          <w:tcPr>
            <w:tcW w:w="12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38 719,41    </w:t>
            </w:r>
          </w:p>
        </w:tc>
        <w:tc>
          <w:tcPr>
            <w:tcW w:w="13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668 538,45    </w:t>
            </w:r>
          </w:p>
        </w:tc>
        <w:tc>
          <w:tcPr>
            <w:tcW w:w="17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12 055 142,17    </w:t>
            </w:r>
          </w:p>
        </w:tc>
      </w:tr>
      <w:tr w:rsidR="004179A3" w:rsidRPr="004179A3" w:rsidTr="004179A3">
        <w:trPr>
          <w:trHeight w:val="300"/>
        </w:trPr>
        <w:tc>
          <w:tcPr>
            <w:tcW w:w="148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0,41514    </w:t>
            </w:r>
          </w:p>
        </w:tc>
        <w:tc>
          <w:tcPr>
            <w:tcW w:w="75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6,886    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123,476    </w:t>
            </w:r>
          </w:p>
        </w:tc>
        <w:tc>
          <w:tcPr>
            <w:tcW w:w="11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2 169,26    </w:t>
            </w:r>
          </w:p>
        </w:tc>
        <w:tc>
          <w:tcPr>
            <w:tcW w:w="12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  <w:tc>
          <w:tcPr>
            <w:tcW w:w="13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  <w:tc>
          <w:tcPr>
            <w:tcW w:w="17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</w:tr>
      <w:tr w:rsidR="004179A3" w:rsidRPr="004179A3" w:rsidTr="004179A3">
        <w:trPr>
          <w:trHeight w:val="300"/>
        </w:trPr>
        <w:tc>
          <w:tcPr>
            <w:tcW w:w="148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0,39820    </w:t>
            </w:r>
          </w:p>
        </w:tc>
        <w:tc>
          <w:tcPr>
            <w:tcW w:w="75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7,173    </w:t>
            </w:r>
          </w:p>
        </w:tc>
        <w:tc>
          <w:tcPr>
            <w:tcW w:w="10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123,293    </w:t>
            </w:r>
          </w:p>
        </w:tc>
        <w:tc>
          <w:tcPr>
            <w:tcW w:w="11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2 169,70    </w:t>
            </w:r>
          </w:p>
        </w:tc>
        <w:tc>
          <w:tcPr>
            <w:tcW w:w="12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  <w:tc>
          <w:tcPr>
            <w:tcW w:w="13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  <w:tc>
          <w:tcPr>
            <w:tcW w:w="17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79A3" w:rsidRPr="004179A3" w:rsidRDefault="004179A3" w:rsidP="00417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79A3">
              <w:rPr>
                <w:rFonts w:ascii="Calibri" w:eastAsia="Times New Roman" w:hAnsi="Calibri" w:cs="Calibri"/>
                <w:b/>
                <w:bCs/>
                <w:color w:val="3F3F3F"/>
              </w:rPr>
              <w:t>-</w:t>
            </w:r>
          </w:p>
        </w:tc>
      </w:tr>
    </w:tbl>
    <w:p w:rsidR="004179A3" w:rsidRDefault="004179A3" w:rsidP="00C21F60">
      <w:pPr>
        <w:ind w:left="708"/>
      </w:pPr>
    </w:p>
    <w:p w:rsidR="00DA5932" w:rsidRPr="00C21F60" w:rsidRDefault="004179A3" w:rsidP="00C21F60">
      <w:pPr>
        <w:ind w:left="708"/>
      </w:pPr>
      <w:r>
        <w:rPr>
          <w:noProof/>
        </w:rPr>
        <w:drawing>
          <wp:inline distT="0" distB="0" distL="0" distR="0" wp14:anchorId="507C0E94" wp14:editId="424834FC">
            <wp:extent cx="4572000" cy="36576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2F046DF-1276-4CAB-9FC1-37E8B3B793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25C5" w:rsidRPr="00A65DF3" w:rsidRDefault="00BE5C37" w:rsidP="00A65D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147C4" w:rsidRDefault="00A65DF3" w:rsidP="001147C4">
      <w:pPr>
        <w:pStyle w:val="Nagwek1"/>
        <w:numPr>
          <w:ilvl w:val="0"/>
          <w:numId w:val="1"/>
        </w:numPr>
      </w:pPr>
      <w:r>
        <w:lastRenderedPageBreak/>
        <w:t>Algorytm zachłanny(</w:t>
      </w:r>
      <w:proofErr w:type="spellStart"/>
      <w:r>
        <w:t>greedy</w:t>
      </w:r>
      <w:proofErr w:type="spellEnd"/>
      <w:r>
        <w:t>)</w:t>
      </w:r>
    </w:p>
    <w:p w:rsidR="00B57675" w:rsidRDefault="00B57675" w:rsidP="00296F7F">
      <w:pPr>
        <w:pStyle w:val="Nagwek2"/>
        <w:numPr>
          <w:ilvl w:val="1"/>
          <w:numId w:val="1"/>
        </w:numPr>
      </w:pPr>
      <w:r>
        <w:t>Złożoność obliczeniowa i implementacja</w:t>
      </w:r>
    </w:p>
    <w:p w:rsidR="00FE5EA2" w:rsidRDefault="00B57675" w:rsidP="00296F7F">
      <w:pPr>
        <w:ind w:left="708"/>
      </w:pPr>
      <w:r>
        <w:t>Złożoność obliczeniowa wynosi O(</w:t>
      </w:r>
      <w:r w:rsidR="002E0FA7">
        <w:t>n log n</w:t>
      </w:r>
      <w:r w:rsidR="001F7F21">
        <w:t xml:space="preserve"> + n</w:t>
      </w:r>
      <w:r>
        <w:t xml:space="preserve">) </w:t>
      </w:r>
      <w:r w:rsidR="002E0FA7">
        <w:t xml:space="preserve">– posortowanie </w:t>
      </w:r>
      <w:r w:rsidR="00C20D37">
        <w:t xml:space="preserve">wszystkich przedmiotów </w:t>
      </w:r>
      <w:r w:rsidR="00AA2823">
        <w:t xml:space="preserve">według jednego parametru (w mojej implementacji </w:t>
      </w:r>
      <w:r w:rsidR="00FE5EA2">
        <w:t xml:space="preserve">– ich </w:t>
      </w:r>
      <w:r w:rsidR="00AA2823">
        <w:t>ilorazu wartości do objętości</w:t>
      </w:r>
      <w:r w:rsidR="00DD5152">
        <w:t xml:space="preserve">, sortowaniem przez </w:t>
      </w:r>
      <w:proofErr w:type="spellStart"/>
      <w:r w:rsidR="00DD5152">
        <w:t>kocpowanie</w:t>
      </w:r>
      <w:proofErr w:type="spellEnd"/>
      <w:r w:rsidR="00AA2823">
        <w:t>)</w:t>
      </w:r>
      <w:r w:rsidR="001F7F21">
        <w:t xml:space="preserve"> + iteracja po nich aż do zapełnienia plecaka.</w:t>
      </w:r>
    </w:p>
    <w:p w:rsidR="001F7F21" w:rsidRDefault="001F7F21" w:rsidP="00296F7F">
      <w:pPr>
        <w:ind w:left="708"/>
      </w:pPr>
      <w:r>
        <w:t>Pojemność plecaka ma drobny wpływa na czas rozwiązywania pojedynczej instancji, im jest ona większa tym więcej przedmiotów jest średnio rozpatrywanyc</w:t>
      </w:r>
      <w:r w:rsidR="003E19A4">
        <w:t>h zanim algorytm napełni plecak, ale nie ma wpływy na warunek pesymistyczny (np. gdy najmniej wartościowy przedmiot jako jedyny mieści się w prawie pełnym plecaku).</w:t>
      </w:r>
    </w:p>
    <w:p w:rsidR="003E19A4" w:rsidRDefault="003E19A4" w:rsidP="00296F7F">
      <w:pPr>
        <w:ind w:left="708"/>
      </w:pPr>
      <w:r>
        <w:t xml:space="preserve">Algorytm jest bardzo </w:t>
      </w:r>
      <w:r w:rsidR="00DD5152">
        <w:t>szybki</w:t>
      </w:r>
      <w:r>
        <w:t xml:space="preserve">, ale nie rozwiązuje problemu znalezienia optymalnego zestawu przedmiotów </w:t>
      </w:r>
      <w:r w:rsidR="00DD5152">
        <w:t xml:space="preserve">prawie zawsze daje gorsze wyniki od algorytmu zachłannego i dynamicznego, średnio o 10-20%. </w:t>
      </w:r>
    </w:p>
    <w:p w:rsidR="003C15B8" w:rsidRDefault="003C15B8" w:rsidP="003C15B8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W w:w="9111" w:type="dxa"/>
        <w:tblInd w:w="-147" w:type="dxa"/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63"/>
        <w:gridCol w:w="996"/>
        <w:gridCol w:w="996"/>
        <w:gridCol w:w="996"/>
        <w:gridCol w:w="996"/>
        <w:gridCol w:w="996"/>
        <w:gridCol w:w="996"/>
        <w:gridCol w:w="996"/>
      </w:tblGrid>
      <w:tr w:rsidR="003C15B8" w:rsidRPr="003C15B8" w:rsidTr="00DE3E35">
        <w:trPr>
          <w:trHeight w:val="559"/>
        </w:trPr>
        <w:tc>
          <w:tcPr>
            <w:tcW w:w="9111" w:type="dxa"/>
            <w:gridSpan w:val="9"/>
            <w:tcBorders>
              <w:bottom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ind w:right="440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>Tabela 2. Zależność Pojemności plecaka i ilości przedmioty na czas wykonywania przeglądu zupe</w:t>
            </w:r>
            <w:r w:rsidR="001F7F21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 xml:space="preserve">łnego, czas w </w:t>
            </w:r>
            <w:r w:rsidR="001F7F21" w:rsidRPr="003E19A4">
              <w:rPr>
                <w:sz w:val="21"/>
                <w:szCs w:val="21"/>
              </w:rPr>
              <w:t>µ</w:t>
            </w:r>
            <w:r w:rsidRPr="003E19A4">
              <w:rPr>
                <w:rFonts w:ascii="Calibri" w:eastAsia="Times New Roman" w:hAnsi="Calibri" w:cs="Calibri"/>
                <w:b/>
                <w:bCs/>
                <w:color w:val="3F3F3F"/>
                <w:sz w:val="21"/>
                <w:szCs w:val="21"/>
              </w:rPr>
              <w:t>s</w:t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ab/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ab/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ab/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ab/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ab/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ab/>
            </w:r>
          </w:p>
        </w:tc>
      </w:tr>
      <w:tr w:rsidR="003C15B8" w:rsidRPr="003C15B8" w:rsidTr="00DD5152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bookmarkStart w:id="0" w:name="_Hlk485147325"/>
            <w:bookmarkStart w:id="1" w:name="_Hlk485147546"/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Poj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\</w:t>
            </w: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il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. przed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</w:tr>
      <w:bookmarkEnd w:id="0"/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0,98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1,41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2,41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1,99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1,86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2,52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1,54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2,57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2,07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2,46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2,74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1,83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2,38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1,90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2,86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Poj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\</w:t>
            </w: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il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. przed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48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52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56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76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3,83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4,41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5,42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3,38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3,77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4,05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4,38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4,69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4,99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5,46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5,99</w:t>
            </w:r>
          </w:p>
        </w:tc>
      </w:tr>
      <w:tr w:rsidR="003C15B8" w:rsidRPr="003C15B8" w:rsidTr="00DE3E35">
        <w:trPr>
          <w:trHeight w:val="2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30 l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3,60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4,45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4,23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4,56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5,53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C15B8" w:rsidRPr="003C15B8" w:rsidRDefault="003C15B8" w:rsidP="003C1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Cs/>
                <w:color w:val="3F3F3F"/>
              </w:rPr>
              <w:t>6,52</w:t>
            </w:r>
          </w:p>
        </w:tc>
      </w:tr>
      <w:bookmarkEnd w:id="1"/>
    </w:tbl>
    <w:p w:rsidR="00DD5152" w:rsidRDefault="00DD5152" w:rsidP="003C15B8"/>
    <w:p w:rsidR="00B57675" w:rsidRDefault="001F7F21" w:rsidP="003C15B8">
      <w:r>
        <w:rPr>
          <w:noProof/>
        </w:rPr>
        <w:drawing>
          <wp:inline distT="0" distB="0" distL="0" distR="0" wp14:anchorId="661808CD" wp14:editId="1709EDBC">
            <wp:extent cx="5645889" cy="3616960"/>
            <wp:effectExtent l="0" t="0" r="12065" b="254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5462E65-24BD-495B-AB0F-EF8173FA08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5152" w:rsidRDefault="00DD5152" w:rsidP="00DD5152">
      <w:pPr>
        <w:pStyle w:val="Nagwek1"/>
        <w:numPr>
          <w:ilvl w:val="0"/>
          <w:numId w:val="1"/>
        </w:numPr>
      </w:pPr>
      <w:r>
        <w:lastRenderedPageBreak/>
        <w:t xml:space="preserve">Algorytm </w:t>
      </w:r>
      <w:r>
        <w:t>oparty o programowanie dynamiczne</w:t>
      </w:r>
      <w:r>
        <w:t>(</w:t>
      </w:r>
      <w:proofErr w:type="spellStart"/>
      <w:r>
        <w:t>dynamic</w:t>
      </w:r>
      <w:proofErr w:type="spellEnd"/>
      <w:r>
        <w:t>)</w:t>
      </w:r>
    </w:p>
    <w:p w:rsidR="00DD5152" w:rsidRDefault="00DD5152" w:rsidP="00DD5152">
      <w:pPr>
        <w:pStyle w:val="Nagwek2"/>
        <w:numPr>
          <w:ilvl w:val="1"/>
          <w:numId w:val="15"/>
        </w:numPr>
      </w:pPr>
      <w:r>
        <w:t>Złożoność obliczeniowa i implementacja</w:t>
      </w:r>
    </w:p>
    <w:p w:rsidR="003141E7" w:rsidRDefault="00DD5152" w:rsidP="003141E7">
      <w:pPr>
        <w:ind w:left="709" w:hanging="1"/>
      </w:pPr>
      <w:r>
        <w:t>Złożoność obliczeniowa wynosi O(</w:t>
      </w:r>
      <w:r w:rsidR="00C13F48">
        <w:t>n*c</w:t>
      </w:r>
      <w:r>
        <w:t>)</w:t>
      </w:r>
      <w:r w:rsidR="003141E7">
        <w:t xml:space="preserve">, gdzie n oznacza ilość przedmiotów, c - pojemność plecaka, wynika to z faktu że do rozwiązania problemu rozwiązujemy </w:t>
      </w:r>
      <w:proofErr w:type="spellStart"/>
      <w:r w:rsidR="003141E7">
        <w:t>podproblem</w:t>
      </w:r>
      <w:proofErr w:type="spellEnd"/>
      <w:r w:rsidR="003141E7">
        <w:t>, efektywnie tworząc tabelę rozwiązań instancji o rozmiarach od 1 do n przedmiotów i od 1 c jednostek pojemności.</w:t>
      </w:r>
    </w:p>
    <w:p w:rsidR="00DD5152" w:rsidRDefault="00DD5152" w:rsidP="00DD5152">
      <w:pPr>
        <w:pStyle w:val="Nagwek2"/>
        <w:numPr>
          <w:ilvl w:val="1"/>
          <w:numId w:val="15"/>
        </w:numPr>
      </w:pPr>
      <w:bookmarkStart w:id="2" w:name="_GoBack"/>
      <w:r>
        <w:t>Wyniki pomiarów</w:t>
      </w:r>
    </w:p>
    <w:tbl>
      <w:tblPr>
        <w:tblW w:w="8640" w:type="dxa"/>
        <w:tblInd w:w="-5" w:type="dxa"/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44"/>
        <w:gridCol w:w="960"/>
        <w:gridCol w:w="960"/>
        <w:gridCol w:w="960"/>
        <w:gridCol w:w="960"/>
        <w:gridCol w:w="960"/>
        <w:gridCol w:w="960"/>
        <w:gridCol w:w="960"/>
      </w:tblGrid>
      <w:tr w:rsidR="00DC4719" w:rsidRPr="009051B8" w:rsidTr="00DE3E35">
        <w:trPr>
          <w:trHeight w:val="513"/>
        </w:trPr>
        <w:tc>
          <w:tcPr>
            <w:tcW w:w="8640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</w:tcPr>
          <w:bookmarkEnd w:id="2"/>
          <w:p w:rsidR="00DC4719" w:rsidRPr="009051B8" w:rsidRDefault="00DC4719" w:rsidP="00DC4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 xml:space="preserve">Tabela </w:t>
            </w:r>
            <w:r w:rsidR="00512ECF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>3</w:t>
            </w:r>
            <w:r w:rsidRPr="003C15B8"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 xml:space="preserve">. Zależność Pojemności plecaka i ilości przedmioty na czas wykonywania 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>algorytmu dynamicznego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sz w:val="21"/>
              </w:rPr>
              <w:t xml:space="preserve">, czas w </w:t>
            </w:r>
            <w:r w:rsidRPr="003E19A4">
              <w:rPr>
                <w:sz w:val="21"/>
                <w:szCs w:val="21"/>
              </w:rPr>
              <w:t>µ</w:t>
            </w:r>
            <w:r w:rsidRPr="003E19A4">
              <w:rPr>
                <w:rFonts w:ascii="Calibri" w:eastAsia="Times New Roman" w:hAnsi="Calibri" w:cs="Calibri"/>
                <w:b/>
                <w:bCs/>
                <w:color w:val="3F3F3F"/>
                <w:sz w:val="21"/>
                <w:szCs w:val="21"/>
              </w:rPr>
              <w:t>s</w:t>
            </w:r>
          </w:p>
        </w:tc>
      </w:tr>
      <w:tr w:rsidR="00DC4719" w:rsidRPr="009051B8" w:rsidTr="00DE3E35">
        <w:trPr>
          <w:trHeight w:val="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Poj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\</w:t>
            </w: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il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. przed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DC4719" w:rsidRPr="003C15B8" w:rsidRDefault="00DC4719" w:rsidP="00DC4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</w:tr>
      <w:tr w:rsidR="009051B8" w:rsidRPr="009051B8" w:rsidTr="00DE3E35">
        <w:trPr>
          <w:trHeight w:val="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1,157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1,915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2,921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3,703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1,571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1,717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1,855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1,986</w:t>
            </w:r>
          </w:p>
        </w:tc>
      </w:tr>
      <w:tr w:rsidR="009051B8" w:rsidRPr="009051B8" w:rsidTr="00DE3E35">
        <w:trPr>
          <w:trHeight w:val="1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2,021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2,376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4,129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5,163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2,649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2,996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3,407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3,576</w:t>
            </w:r>
          </w:p>
        </w:tc>
      </w:tr>
      <w:tr w:rsidR="009051B8" w:rsidRPr="009051B8" w:rsidTr="00DE3E35">
        <w:trPr>
          <w:trHeight w:val="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2,037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3,091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4,682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5,708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3,584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3,94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4,417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1B8" w:rsidRPr="009051B8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4,796</w:t>
            </w:r>
          </w:p>
        </w:tc>
      </w:tr>
      <w:tr w:rsidR="00DC4719" w:rsidRPr="009051B8" w:rsidTr="00DE3E35">
        <w:trPr>
          <w:trHeight w:val="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C4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Poj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\</w:t>
            </w:r>
            <w:proofErr w:type="spellStart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il</w:t>
            </w:r>
            <w:proofErr w:type="spellEnd"/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. przed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C4719" w:rsidRPr="003C15B8" w:rsidRDefault="00DC4719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C15B8">
              <w:rPr>
                <w:rFonts w:ascii="Calibri" w:eastAsia="Times New Roman" w:hAnsi="Calibri" w:cs="Calibri"/>
                <w:b/>
                <w:bCs/>
                <w:color w:val="3F3F3F"/>
              </w:rPr>
              <w:t>76</w:t>
            </w:r>
          </w:p>
        </w:tc>
      </w:tr>
      <w:tr w:rsidR="009051B8" w:rsidRPr="00DC4719" w:rsidTr="00DE3E35">
        <w:trPr>
          <w:trHeight w:val="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10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1,986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2,163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2,238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2,432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2,653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2,637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3,126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2,953</w:t>
            </w:r>
          </w:p>
        </w:tc>
      </w:tr>
      <w:tr w:rsidR="009051B8" w:rsidRPr="00DC4719" w:rsidTr="00DE3E35">
        <w:trPr>
          <w:trHeight w:val="17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20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3,651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3,944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4,299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4,812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4,852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5,136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5,748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5,803</w:t>
            </w:r>
          </w:p>
        </w:tc>
      </w:tr>
      <w:tr w:rsidR="009051B8" w:rsidRPr="00DC4719" w:rsidTr="00DE3E35">
        <w:trPr>
          <w:trHeight w:val="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9051B8" w:rsidRDefault="009051B8" w:rsidP="0090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51B8">
              <w:rPr>
                <w:rFonts w:ascii="Calibri" w:eastAsia="Times New Roman" w:hAnsi="Calibri" w:cs="Calibri"/>
                <w:b/>
                <w:bCs/>
                <w:color w:val="3F3F3F"/>
              </w:rPr>
              <w:t>30 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5,25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5,641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6,257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7,449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6,707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7,153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7,631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051B8" w:rsidRPr="00DC4719" w:rsidRDefault="009051B8" w:rsidP="00DE3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C4719">
              <w:rPr>
                <w:rFonts w:ascii="Calibri" w:eastAsia="Times New Roman" w:hAnsi="Calibri" w:cs="Calibri"/>
                <w:b/>
                <w:bCs/>
                <w:color w:val="3F3F3F"/>
              </w:rPr>
              <w:t>7,887</w:t>
            </w:r>
          </w:p>
        </w:tc>
      </w:tr>
    </w:tbl>
    <w:p w:rsidR="00DD5152" w:rsidRPr="00512ECF" w:rsidRDefault="00512ECF" w:rsidP="00512ECF">
      <w:pPr>
        <w:spacing w:after="0" w:line="240" w:lineRule="auto"/>
        <w:rPr>
          <w:rFonts w:ascii="Calibri" w:eastAsia="Times New Roman" w:hAnsi="Calibri" w:cs="Calibri"/>
          <w:b/>
          <w:bCs/>
          <w:color w:val="3F3F3F"/>
        </w:rPr>
      </w:pPr>
      <w:r>
        <w:rPr>
          <w:noProof/>
        </w:rPr>
        <w:drawing>
          <wp:inline distT="0" distB="0" distL="0" distR="0" wp14:anchorId="60ED74BF" wp14:editId="172200E2">
            <wp:extent cx="5419725" cy="3695700"/>
            <wp:effectExtent l="0" t="0" r="9525" b="0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6FE40AA4-13F2-4B9D-8970-4F8738E69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7998" w:rsidRDefault="003B7998">
      <w:r>
        <w:br w:type="page"/>
      </w:r>
    </w:p>
    <w:p w:rsidR="00383AB3" w:rsidRPr="00383AB3" w:rsidRDefault="003B7998" w:rsidP="00383AB3">
      <w:r w:rsidRPr="003B7998">
        <w:rPr>
          <w:noProof/>
        </w:rPr>
        <w:lastRenderedPageBreak/>
        <w:t xml:space="preserve">  </w:t>
      </w:r>
    </w:p>
    <w:p w:rsidR="0046025E" w:rsidRDefault="00F8396F" w:rsidP="00512ECF">
      <w:pPr>
        <w:pStyle w:val="Nagwek1"/>
        <w:numPr>
          <w:ilvl w:val="0"/>
          <w:numId w:val="1"/>
        </w:numPr>
      </w:pPr>
      <w:r>
        <w:t>Konkluzje</w:t>
      </w:r>
    </w:p>
    <w:p w:rsidR="008064FF" w:rsidRDefault="008064FF" w:rsidP="008064FF">
      <w:r>
        <w:t xml:space="preserve">Przegląd zupełny dla problemu plecakowego bardzo szybko staje się absurdalnie kosztowny. </w:t>
      </w:r>
    </w:p>
    <w:p w:rsidR="008064FF" w:rsidRDefault="008064FF" w:rsidP="008064FF">
      <w:r>
        <w:t>Algorytm zachłanny w niektórych przypadkach daje bardzo dobre przybliżenie rozwiązania instancji problemu plecakowego, ale to tylko przybliżenie.</w:t>
      </w:r>
    </w:p>
    <w:p w:rsidR="008064FF" w:rsidRDefault="008064FF" w:rsidP="008064FF">
      <w:r>
        <w:t xml:space="preserve">Algorytm oparty o programowanie dynamiczne jest stosunkowo szybki dla rozważanego dyskretnego </w:t>
      </w:r>
      <w:r>
        <w:t>problemu</w:t>
      </w:r>
      <w:r>
        <w:t xml:space="preserve"> plecakowego, niestety </w:t>
      </w:r>
      <w:r w:rsidR="007B5338">
        <w:t>jego złożoność pamięciowa i obliczeniowa rośnie wraz oboma parametrami.</w:t>
      </w:r>
    </w:p>
    <w:p w:rsidR="007B5338" w:rsidRPr="008064FF" w:rsidRDefault="007B5338" w:rsidP="008064FF">
      <w:r>
        <w:t>Dla bardzo małych pojemności plecaka, algorytm zachłanny jest wolniejszy od dynamicznego.</w:t>
      </w:r>
    </w:p>
    <w:p w:rsidR="007D61DF" w:rsidRPr="00D72B00" w:rsidRDefault="008064FF" w:rsidP="00D72B00">
      <w:r>
        <w:rPr>
          <w:noProof/>
        </w:rPr>
        <w:drawing>
          <wp:inline distT="0" distB="0" distL="0" distR="0" wp14:anchorId="48480040" wp14:editId="2D96E746">
            <wp:extent cx="2838450" cy="3582670"/>
            <wp:effectExtent l="0" t="0" r="0" b="177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1589F86-28DF-437D-9559-38F94D53B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63B0F" wp14:editId="2C8C177C">
            <wp:extent cx="2891790" cy="3582818"/>
            <wp:effectExtent l="0" t="0" r="3810" b="1778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69AF0AFB-E895-4FD8-95BC-EBA5D9018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2760" w:rsidRDefault="00C5298C" w:rsidP="00512ECF">
      <w:pPr>
        <w:pStyle w:val="Nagwek1"/>
        <w:numPr>
          <w:ilvl w:val="0"/>
          <w:numId w:val="1"/>
        </w:numPr>
      </w:pPr>
      <w:r>
        <w:t>Literatura</w:t>
      </w:r>
    </w:p>
    <w:p w:rsidR="00E730AA" w:rsidRPr="007B5338" w:rsidRDefault="007B5338" w:rsidP="00C5298C">
      <w:hyperlink r:id="rId12" w:history="1">
        <w:r w:rsidRPr="007B5338">
          <w:rPr>
            <w:rStyle w:val="Hipercze"/>
          </w:rPr>
          <w:t>https://www.wikipedia.org/</w:t>
        </w:r>
      </w:hyperlink>
    </w:p>
    <w:p w:rsidR="00D72B00" w:rsidRPr="007B5338" w:rsidRDefault="007B5338" w:rsidP="00C5298C">
      <w:r w:rsidRPr="007B5338">
        <w:t>http://www-users.mat.uni.torun.pl/~henkej/knapsack.pdf</w:t>
      </w:r>
    </w:p>
    <w:sectPr w:rsidR="00D72B00" w:rsidRPr="007B533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A5E" w:rsidRDefault="00831A5E" w:rsidP="00D9070A">
      <w:pPr>
        <w:spacing w:after="0" w:line="240" w:lineRule="auto"/>
      </w:pPr>
      <w:r>
        <w:separator/>
      </w:r>
    </w:p>
  </w:endnote>
  <w:endnote w:type="continuationSeparator" w:id="0">
    <w:p w:rsidR="00831A5E" w:rsidRDefault="00831A5E" w:rsidP="00D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325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0840" w:rsidRDefault="008A084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F9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F9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0840" w:rsidRDefault="008A08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A5E" w:rsidRDefault="00831A5E" w:rsidP="00D9070A">
      <w:pPr>
        <w:spacing w:after="0" w:line="240" w:lineRule="auto"/>
      </w:pPr>
      <w:r>
        <w:separator/>
      </w:r>
    </w:p>
  </w:footnote>
  <w:footnote w:type="continuationSeparator" w:id="0">
    <w:p w:rsidR="00831A5E" w:rsidRDefault="00831A5E" w:rsidP="00D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76" w:rsidRDefault="00C15476" w:rsidP="00C15476">
    <w:pPr>
      <w:pStyle w:val="Nagwek"/>
      <w:jc w:val="right"/>
    </w:pPr>
    <w:r>
      <w:t>Marcin Kozieł 225937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9E8"/>
    <w:multiLevelType w:val="hybridMultilevel"/>
    <w:tmpl w:val="21BC82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A26"/>
    <w:multiLevelType w:val="hybridMultilevel"/>
    <w:tmpl w:val="27986778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DFF0903"/>
    <w:multiLevelType w:val="hybridMultilevel"/>
    <w:tmpl w:val="BA3E6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D1389"/>
    <w:multiLevelType w:val="hybridMultilevel"/>
    <w:tmpl w:val="4F9EE532"/>
    <w:lvl w:ilvl="0" w:tplc="04150019">
      <w:start w:val="1"/>
      <w:numFmt w:val="lowerLetter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F6B5D5E"/>
    <w:multiLevelType w:val="hybridMultilevel"/>
    <w:tmpl w:val="5872A8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D1CFA"/>
    <w:multiLevelType w:val="hybridMultilevel"/>
    <w:tmpl w:val="90D272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DA7B15"/>
    <w:multiLevelType w:val="hybridMultilevel"/>
    <w:tmpl w:val="349CD2E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073B12"/>
    <w:multiLevelType w:val="hybridMultilevel"/>
    <w:tmpl w:val="C8FE4300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F3A3195"/>
    <w:multiLevelType w:val="hybridMultilevel"/>
    <w:tmpl w:val="AA5E877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666754"/>
    <w:multiLevelType w:val="hybridMultilevel"/>
    <w:tmpl w:val="AFCA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C072F"/>
    <w:multiLevelType w:val="hybridMultilevel"/>
    <w:tmpl w:val="AA305DF0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215F66"/>
    <w:multiLevelType w:val="hybridMultilevel"/>
    <w:tmpl w:val="823492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9A3817"/>
    <w:multiLevelType w:val="hybridMultilevel"/>
    <w:tmpl w:val="2F86B434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3A62A16"/>
    <w:multiLevelType w:val="hybridMultilevel"/>
    <w:tmpl w:val="B41C498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7B6DB2"/>
    <w:multiLevelType w:val="hybridMultilevel"/>
    <w:tmpl w:val="0B54FD5E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14"/>
  </w:num>
  <w:num w:numId="11">
    <w:abstractNumId w:val="7"/>
  </w:num>
  <w:num w:numId="12">
    <w:abstractNumId w:val="0"/>
  </w:num>
  <w:num w:numId="13">
    <w:abstractNumId w:val="1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A"/>
    <w:rsid w:val="00010935"/>
    <w:rsid w:val="00013D57"/>
    <w:rsid w:val="00022775"/>
    <w:rsid w:val="0007487D"/>
    <w:rsid w:val="000942A9"/>
    <w:rsid w:val="000D0FD4"/>
    <w:rsid w:val="000F6A88"/>
    <w:rsid w:val="001147C4"/>
    <w:rsid w:val="00184870"/>
    <w:rsid w:val="001A46D8"/>
    <w:rsid w:val="001F7F21"/>
    <w:rsid w:val="00212887"/>
    <w:rsid w:val="00252FE1"/>
    <w:rsid w:val="00257BB8"/>
    <w:rsid w:val="002746DD"/>
    <w:rsid w:val="00297813"/>
    <w:rsid w:val="002E0D29"/>
    <w:rsid w:val="002E0FA7"/>
    <w:rsid w:val="002E4FC4"/>
    <w:rsid w:val="0031188C"/>
    <w:rsid w:val="003141E7"/>
    <w:rsid w:val="00334406"/>
    <w:rsid w:val="00354886"/>
    <w:rsid w:val="00383AB3"/>
    <w:rsid w:val="003B7998"/>
    <w:rsid w:val="003C15B8"/>
    <w:rsid w:val="003C7101"/>
    <w:rsid w:val="003D16C6"/>
    <w:rsid w:val="003E19A4"/>
    <w:rsid w:val="003E5B21"/>
    <w:rsid w:val="004179A3"/>
    <w:rsid w:val="00444FBD"/>
    <w:rsid w:val="00455BEC"/>
    <w:rsid w:val="0046025E"/>
    <w:rsid w:val="004825C5"/>
    <w:rsid w:val="00495ABF"/>
    <w:rsid w:val="004D152F"/>
    <w:rsid w:val="00512ECF"/>
    <w:rsid w:val="0053707B"/>
    <w:rsid w:val="0056159E"/>
    <w:rsid w:val="00572106"/>
    <w:rsid w:val="005A1AB1"/>
    <w:rsid w:val="005B7E1E"/>
    <w:rsid w:val="00626BCA"/>
    <w:rsid w:val="006534F9"/>
    <w:rsid w:val="00682090"/>
    <w:rsid w:val="006B3F2F"/>
    <w:rsid w:val="006B5BB7"/>
    <w:rsid w:val="006E5397"/>
    <w:rsid w:val="0072555D"/>
    <w:rsid w:val="00775E38"/>
    <w:rsid w:val="007B5338"/>
    <w:rsid w:val="007D61DF"/>
    <w:rsid w:val="007E40B5"/>
    <w:rsid w:val="008064FF"/>
    <w:rsid w:val="00831A5E"/>
    <w:rsid w:val="00865999"/>
    <w:rsid w:val="008A0840"/>
    <w:rsid w:val="009051B8"/>
    <w:rsid w:val="00917253"/>
    <w:rsid w:val="00933791"/>
    <w:rsid w:val="00940F85"/>
    <w:rsid w:val="0096699B"/>
    <w:rsid w:val="009A0CDC"/>
    <w:rsid w:val="009A4B6A"/>
    <w:rsid w:val="009B7F6D"/>
    <w:rsid w:val="009F459C"/>
    <w:rsid w:val="009F723D"/>
    <w:rsid w:val="00A3664C"/>
    <w:rsid w:val="00A65DF3"/>
    <w:rsid w:val="00A66021"/>
    <w:rsid w:val="00A7006C"/>
    <w:rsid w:val="00A756BF"/>
    <w:rsid w:val="00A832A6"/>
    <w:rsid w:val="00A97E4E"/>
    <w:rsid w:val="00AA2823"/>
    <w:rsid w:val="00AF56F3"/>
    <w:rsid w:val="00B57675"/>
    <w:rsid w:val="00B632E1"/>
    <w:rsid w:val="00BC6133"/>
    <w:rsid w:val="00BE48EC"/>
    <w:rsid w:val="00BE5C37"/>
    <w:rsid w:val="00BF76B3"/>
    <w:rsid w:val="00C13F48"/>
    <w:rsid w:val="00C15476"/>
    <w:rsid w:val="00C20D37"/>
    <w:rsid w:val="00C21F60"/>
    <w:rsid w:val="00C45C3A"/>
    <w:rsid w:val="00C5298C"/>
    <w:rsid w:val="00C80531"/>
    <w:rsid w:val="00CA61C4"/>
    <w:rsid w:val="00D3603C"/>
    <w:rsid w:val="00D72B00"/>
    <w:rsid w:val="00D828FA"/>
    <w:rsid w:val="00D9070A"/>
    <w:rsid w:val="00D91F59"/>
    <w:rsid w:val="00DA5932"/>
    <w:rsid w:val="00DB0F9D"/>
    <w:rsid w:val="00DC4719"/>
    <w:rsid w:val="00DD2760"/>
    <w:rsid w:val="00DD5152"/>
    <w:rsid w:val="00DE3E35"/>
    <w:rsid w:val="00DF51E3"/>
    <w:rsid w:val="00E153AE"/>
    <w:rsid w:val="00E7181B"/>
    <w:rsid w:val="00E730AA"/>
    <w:rsid w:val="00E97253"/>
    <w:rsid w:val="00EB18E0"/>
    <w:rsid w:val="00EB3A34"/>
    <w:rsid w:val="00EC4C26"/>
    <w:rsid w:val="00ED3A54"/>
    <w:rsid w:val="00F81334"/>
    <w:rsid w:val="00F8396F"/>
    <w:rsid w:val="00F91491"/>
    <w:rsid w:val="00FA045D"/>
    <w:rsid w:val="00FB51A7"/>
    <w:rsid w:val="00FE2A78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523A"/>
  <w15:chartTrackingRefBased/>
  <w15:docId w15:val="{7549BB77-1E37-497A-9B25-84E328A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70A"/>
  </w:style>
  <w:style w:type="paragraph" w:styleId="Stopka">
    <w:name w:val="footer"/>
    <w:basedOn w:val="Normalny"/>
    <w:link w:val="Stopka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70A"/>
  </w:style>
  <w:style w:type="character" w:customStyle="1" w:styleId="fontstyle01">
    <w:name w:val="fontstyle01"/>
    <w:basedOn w:val="Domylnaczcionkaakapitu"/>
    <w:rsid w:val="000D0FD4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D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97E4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B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42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42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42A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72B00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D72B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ww.wikipedi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N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N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N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NP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N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1. Czas</a:t>
            </a:r>
            <a:r>
              <a:rPr lang="pl-PL" baseline="0"/>
              <a:t> wykonania przeglądu zupełnego dla plecaka o pojemności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Bruteforce100_F!$H$2:$N$2</c:f>
              <c:numCache>
                <c:formatCode>General</c:formatCode>
                <c:ptCount val="7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</c:numCache>
            </c:numRef>
          </c:xVal>
          <c:yVal>
            <c:numRef>
              <c:f>Bruteforce100_F!$H$3:$N$3</c:f>
              <c:numCache>
                <c:formatCode>_-* #,##0.000\ _z_ł_-;\-* #,##0.000\ _z_ł_-;_-* "-"??\ _z_ł_-;_-@_-</c:formatCode>
                <c:ptCount val="7"/>
                <c:pt idx="0" formatCode="_-* #,##0.00000\ _z_ł_-;\-* #,##0.00000\ _z_ł_-;_-* &quot;-&quot;??\ _z_ł_-;_-@_-">
                  <c:v>0.393154</c:v>
                </c:pt>
                <c:pt idx="1">
                  <c:v>6.9917930000000004</c:v>
                </c:pt>
                <c:pt idx="2">
                  <c:v>123.281402</c:v>
                </c:pt>
                <c:pt idx="3" formatCode="_(* #,##0.00_);_(* \(#,##0.00\);_(* &quot;-&quot;??_);_(@_)">
                  <c:v>2169.4593810000001</c:v>
                </c:pt>
                <c:pt idx="4" formatCode="_(* #,##0.00_);_(* \(#,##0.00\);_(* &quot;-&quot;??_);_(@_)">
                  <c:v>38719.405974000001</c:v>
                </c:pt>
                <c:pt idx="5" formatCode="_(* #,##0.00_);_(* \(#,##0.00\);_(* &quot;-&quot;??_);_(@_)">
                  <c:v>668538.45169999998</c:v>
                </c:pt>
                <c:pt idx="6" formatCode="_(* #,##0.00_);_(* \(#,##0.00\);_(* &quot;-&quot;??_);_(@_)">
                  <c:v>12055142.171336999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05-4EEF-90B2-BF203B4D0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66024"/>
        <c:axId val="877835640"/>
      </c:scatterChart>
      <c:valAx>
        <c:axId val="350966024"/>
        <c:scaling>
          <c:orientation val="minMax"/>
          <c:max val="3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835640"/>
        <c:crosses val="autoZero"/>
        <c:crossBetween val="midCat"/>
        <c:majorUnit val="4"/>
      </c:valAx>
      <c:valAx>
        <c:axId val="8778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0966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2. Czas wykonania algorytmu zachłannego dla różnych parametrów plecaka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63553741317267"/>
          <c:y val="0.19305836700533946"/>
          <c:w val="0.82873005549174539"/>
          <c:h val="0.5787515220391265"/>
        </c:manualLayout>
      </c:layout>
      <c:scatterChart>
        <c:scatterStyle val="lineMarker"/>
        <c:varyColors val="0"/>
        <c:ser>
          <c:idx val="0"/>
          <c:order val="0"/>
          <c:tx>
            <c:strRef>
              <c:f>Greedy100!$G$8</c:f>
              <c:strCache>
                <c:ptCount val="1"/>
                <c:pt idx="0">
                  <c:v>10 l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Greedy100!$H$7:$Y$7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Greedy100!$H$8:$Y$8</c:f>
              <c:numCache>
                <c:formatCode>0.00</c:formatCode>
                <c:ptCount val="18"/>
                <c:pt idx="0">
                  <c:v>0.97499999999999998</c:v>
                </c:pt>
                <c:pt idx="1">
                  <c:v>1.405</c:v>
                </c:pt>
                <c:pt idx="2">
                  <c:v>2.4119999999999999</c:v>
                </c:pt>
                <c:pt idx="3">
                  <c:v>1.986</c:v>
                </c:pt>
                <c:pt idx="4">
                  <c:v>1.595</c:v>
                </c:pt>
                <c:pt idx="5">
                  <c:v>1.863</c:v>
                </c:pt>
                <c:pt idx="6">
                  <c:v>2.238</c:v>
                </c:pt>
                <c:pt idx="7">
                  <c:v>2.5219999999999998</c:v>
                </c:pt>
                <c:pt idx="8">
                  <c:v>2.9209999999999998</c:v>
                </c:pt>
                <c:pt idx="9">
                  <c:v>3.1580000000000004</c:v>
                </c:pt>
                <c:pt idx="10">
                  <c:v>3.4979999999999998</c:v>
                </c:pt>
                <c:pt idx="11">
                  <c:v>3.8289999999999997</c:v>
                </c:pt>
                <c:pt idx="12">
                  <c:v>4.165</c:v>
                </c:pt>
                <c:pt idx="13">
                  <c:v>4.4130000000000003</c:v>
                </c:pt>
                <c:pt idx="14">
                  <c:v>4.9030000000000005</c:v>
                </c:pt>
                <c:pt idx="15">
                  <c:v>5.1520000000000001</c:v>
                </c:pt>
                <c:pt idx="16">
                  <c:v>5.4159999999999995</c:v>
                </c:pt>
                <c:pt idx="17">
                  <c:v>5.8029999999999999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AD-4CC0-B92D-034DA0ECFCBB}"/>
            </c:ext>
          </c:extLst>
        </c:ser>
        <c:ser>
          <c:idx val="1"/>
          <c:order val="1"/>
          <c:tx>
            <c:strRef>
              <c:f>Greedy100!$G$9</c:f>
              <c:strCache>
                <c:ptCount val="1"/>
                <c:pt idx="0">
                  <c:v>20 l</c:v>
                </c:pt>
              </c:strCache>
            </c:strRef>
          </c:tx>
          <c:xVal>
            <c:numRef>
              <c:f>Greedy100!$H$7:$Y$7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Greedy100!$H$9:$Y$9</c:f>
              <c:numCache>
                <c:formatCode>0.00</c:formatCode>
                <c:ptCount val="18"/>
                <c:pt idx="0">
                  <c:v>1.2470000000000001</c:v>
                </c:pt>
                <c:pt idx="1">
                  <c:v>1.5399999999999998</c:v>
                </c:pt>
                <c:pt idx="2">
                  <c:v>2.5739999999999998</c:v>
                </c:pt>
                <c:pt idx="3">
                  <c:v>2.2030000000000003</c:v>
                </c:pt>
                <c:pt idx="4">
                  <c:v>1.7210000000000001</c:v>
                </c:pt>
                <c:pt idx="5">
                  <c:v>2.0649999999999999</c:v>
                </c:pt>
                <c:pt idx="6">
                  <c:v>2.4589999999999996</c:v>
                </c:pt>
                <c:pt idx="7">
                  <c:v>2.7439999999999998</c:v>
                </c:pt>
                <c:pt idx="8">
                  <c:v>3.1150000000000002</c:v>
                </c:pt>
                <c:pt idx="9">
                  <c:v>3.375</c:v>
                </c:pt>
                <c:pt idx="10">
                  <c:v>3.77</c:v>
                </c:pt>
                <c:pt idx="11">
                  <c:v>4.0540000000000003</c:v>
                </c:pt>
                <c:pt idx="12">
                  <c:v>4.3819999999999997</c:v>
                </c:pt>
                <c:pt idx="13">
                  <c:v>4.6859999999999999</c:v>
                </c:pt>
                <c:pt idx="14">
                  <c:v>4.9939999999999998</c:v>
                </c:pt>
                <c:pt idx="15">
                  <c:v>5.4590000000000005</c:v>
                </c:pt>
                <c:pt idx="16">
                  <c:v>5.992</c:v>
                </c:pt>
                <c:pt idx="17">
                  <c:v>6.0200000000000005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AD-4CC0-B92D-034DA0ECFCBB}"/>
            </c:ext>
          </c:extLst>
        </c:ser>
        <c:ser>
          <c:idx val="2"/>
          <c:order val="2"/>
          <c:tx>
            <c:strRef>
              <c:f>Greedy100!$G$10</c:f>
              <c:strCache>
                <c:ptCount val="1"/>
                <c:pt idx="0">
                  <c:v>30 l</c:v>
                </c:pt>
              </c:strCache>
            </c:strRef>
          </c:tx>
          <c:xVal>
            <c:numRef>
              <c:f>Greedy100!$H$7:$Y$7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Greedy100!$H$10:$Y$10</c:f>
              <c:numCache>
                <c:formatCode>0.00</c:formatCode>
                <c:ptCount val="18"/>
                <c:pt idx="0">
                  <c:v>1.1329999999999998</c:v>
                </c:pt>
                <c:pt idx="1">
                  <c:v>1.8280000000000001</c:v>
                </c:pt>
                <c:pt idx="2">
                  <c:v>2.7160000000000002</c:v>
                </c:pt>
                <c:pt idx="3">
                  <c:v>2.3839999999999999</c:v>
                </c:pt>
                <c:pt idx="4">
                  <c:v>1.903</c:v>
                </c:pt>
                <c:pt idx="5">
                  <c:v>2.1670000000000003</c:v>
                </c:pt>
                <c:pt idx="6">
                  <c:v>2.601</c:v>
                </c:pt>
                <c:pt idx="7">
                  <c:v>2.8620000000000001</c:v>
                </c:pt>
                <c:pt idx="8">
                  <c:v>3.3440000000000003</c:v>
                </c:pt>
                <c:pt idx="9">
                  <c:v>3.6</c:v>
                </c:pt>
                <c:pt idx="10">
                  <c:v>4.4530000000000003</c:v>
                </c:pt>
                <c:pt idx="11">
                  <c:v>4.2319999999999993</c:v>
                </c:pt>
                <c:pt idx="12">
                  <c:v>4.5630000000000006</c:v>
                </c:pt>
                <c:pt idx="13">
                  <c:v>5.0020000000000007</c:v>
                </c:pt>
                <c:pt idx="14">
                  <c:v>5.1869999999999994</c:v>
                </c:pt>
                <c:pt idx="15">
                  <c:v>5.5310000000000006</c:v>
                </c:pt>
                <c:pt idx="16">
                  <c:v>6.5209999999999999</c:v>
                </c:pt>
                <c:pt idx="17">
                  <c:v>6.2769999999999992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AD-4CC0-B92D-034DA0ECF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66024"/>
        <c:axId val="877835640"/>
      </c:scatterChart>
      <c:valAx>
        <c:axId val="350966024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835640"/>
        <c:crosses val="autoZero"/>
        <c:crossBetween val="midCat"/>
        <c:majorUnit val="4"/>
      </c:valAx>
      <c:valAx>
        <c:axId val="8778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</a:t>
                </a:r>
                <a:r>
                  <a:rPr lang="pl-PL" sz="1000" b="0" i="0" u="none" strike="noStrike" baseline="0"/>
                  <a:t>µ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0966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7.9284650051432495E-2"/>
          <c:y val="0.90366182319993493"/>
          <c:w val="0.90665559599426171"/>
          <c:h val="4.896474280921070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3. Czas wykonania algorytmu dynamicznego dla różnych parametrów plecaka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5170880441350802E-2"/>
          <c:y val="0.19305841924398626"/>
          <c:w val="0.82873005549174539"/>
          <c:h val="0.5787515220391265"/>
        </c:manualLayout>
      </c:layout>
      <c:scatterChart>
        <c:scatterStyle val="lineMarker"/>
        <c:varyColors val="0"/>
        <c:ser>
          <c:idx val="0"/>
          <c:order val="0"/>
          <c:tx>
            <c:strRef>
              <c:f>Dynamic100!$AG$3</c:f>
              <c:strCache>
                <c:ptCount val="1"/>
                <c:pt idx="0">
                  <c:v>10 l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Dynamic100!$AH$2:$AY$2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Dynamic100!$AH$3:$AY$3</c:f>
              <c:numCache>
                <c:formatCode>General</c:formatCode>
                <c:ptCount val="18"/>
                <c:pt idx="0">
                  <c:v>1.157</c:v>
                </c:pt>
                <c:pt idx="1">
                  <c:v>1.915</c:v>
                </c:pt>
                <c:pt idx="2">
                  <c:v>2.9209999999999998</c:v>
                </c:pt>
                <c:pt idx="3">
                  <c:v>3.7030000000000003</c:v>
                </c:pt>
                <c:pt idx="4">
                  <c:v>1.571</c:v>
                </c:pt>
                <c:pt idx="5">
                  <c:v>1.7170000000000001</c:v>
                </c:pt>
                <c:pt idx="6">
                  <c:v>1.8550000000000002</c:v>
                </c:pt>
                <c:pt idx="7">
                  <c:v>1.986</c:v>
                </c:pt>
                <c:pt idx="8">
                  <c:v>1.986</c:v>
                </c:pt>
                <c:pt idx="9">
                  <c:v>2.1629999999999998</c:v>
                </c:pt>
                <c:pt idx="10">
                  <c:v>2.238</c:v>
                </c:pt>
                <c:pt idx="11">
                  <c:v>2.4319999999999999</c:v>
                </c:pt>
                <c:pt idx="12">
                  <c:v>2.653</c:v>
                </c:pt>
                <c:pt idx="13">
                  <c:v>2.637</c:v>
                </c:pt>
                <c:pt idx="14">
                  <c:v>3.1259999999999999</c:v>
                </c:pt>
                <c:pt idx="15">
                  <c:v>2.9529999999999998</c:v>
                </c:pt>
                <c:pt idx="16">
                  <c:v>3.032</c:v>
                </c:pt>
                <c:pt idx="17">
                  <c:v>3.2010000000000001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BE-4C49-BAC4-49803D99B3A5}"/>
            </c:ext>
          </c:extLst>
        </c:ser>
        <c:ser>
          <c:idx val="1"/>
          <c:order val="1"/>
          <c:tx>
            <c:strRef>
              <c:f>Dynamic100!$AG$4</c:f>
              <c:strCache>
                <c:ptCount val="1"/>
                <c:pt idx="0">
                  <c:v>20 l</c:v>
                </c:pt>
              </c:strCache>
            </c:strRef>
          </c:tx>
          <c:xVal>
            <c:numRef>
              <c:f>Dynamic100!$AH$2:$AY$2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Dynamic100!$AH$4:$AY$4</c:f>
              <c:numCache>
                <c:formatCode>General</c:formatCode>
                <c:ptCount val="18"/>
                <c:pt idx="0">
                  <c:v>2.0209999999999999</c:v>
                </c:pt>
                <c:pt idx="1">
                  <c:v>2.3759999999999999</c:v>
                </c:pt>
                <c:pt idx="2">
                  <c:v>4.1289999999999996</c:v>
                </c:pt>
                <c:pt idx="3">
                  <c:v>5.1630000000000003</c:v>
                </c:pt>
                <c:pt idx="4">
                  <c:v>2.649</c:v>
                </c:pt>
                <c:pt idx="5">
                  <c:v>2.996</c:v>
                </c:pt>
                <c:pt idx="6">
                  <c:v>3.407</c:v>
                </c:pt>
                <c:pt idx="7">
                  <c:v>3.5760000000000001</c:v>
                </c:pt>
                <c:pt idx="8">
                  <c:v>3.6510000000000002</c:v>
                </c:pt>
                <c:pt idx="9">
                  <c:v>3.9439999999999995</c:v>
                </c:pt>
                <c:pt idx="10">
                  <c:v>4.2989999999999995</c:v>
                </c:pt>
                <c:pt idx="11">
                  <c:v>4.8120000000000003</c:v>
                </c:pt>
                <c:pt idx="12">
                  <c:v>4.8520000000000003</c:v>
                </c:pt>
                <c:pt idx="13">
                  <c:v>5.1360000000000001</c:v>
                </c:pt>
                <c:pt idx="14">
                  <c:v>5.7479999999999993</c:v>
                </c:pt>
                <c:pt idx="15">
                  <c:v>5.8029999999999999</c:v>
                </c:pt>
                <c:pt idx="16">
                  <c:v>6.2729999999999997</c:v>
                </c:pt>
                <c:pt idx="17">
                  <c:v>6.2809999999999997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BE-4C49-BAC4-49803D99B3A5}"/>
            </c:ext>
          </c:extLst>
        </c:ser>
        <c:ser>
          <c:idx val="2"/>
          <c:order val="2"/>
          <c:tx>
            <c:strRef>
              <c:f>Dynamic100!$AG$5</c:f>
              <c:strCache>
                <c:ptCount val="1"/>
                <c:pt idx="0">
                  <c:v>30 l</c:v>
                </c:pt>
              </c:strCache>
            </c:strRef>
          </c:tx>
          <c:xVal>
            <c:numRef>
              <c:f>Dynamic100!$AH$2:$AY$2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Dynamic100!$AH$5:$AY$5</c:f>
              <c:numCache>
                <c:formatCode>General</c:formatCode>
                <c:ptCount val="18"/>
                <c:pt idx="0">
                  <c:v>2.0370000000000004</c:v>
                </c:pt>
                <c:pt idx="1">
                  <c:v>3.0910000000000002</c:v>
                </c:pt>
                <c:pt idx="2">
                  <c:v>4.6820000000000004</c:v>
                </c:pt>
                <c:pt idx="3">
                  <c:v>5.7080000000000002</c:v>
                </c:pt>
                <c:pt idx="4">
                  <c:v>3.5840000000000001</c:v>
                </c:pt>
                <c:pt idx="5">
                  <c:v>3.94</c:v>
                </c:pt>
                <c:pt idx="6">
                  <c:v>4.4169999999999998</c:v>
                </c:pt>
                <c:pt idx="7">
                  <c:v>4.7960000000000003</c:v>
                </c:pt>
                <c:pt idx="8">
                  <c:v>5.25</c:v>
                </c:pt>
                <c:pt idx="9">
                  <c:v>5.641</c:v>
                </c:pt>
                <c:pt idx="10">
                  <c:v>6.2570000000000006</c:v>
                </c:pt>
                <c:pt idx="11">
                  <c:v>7.4489999999999998</c:v>
                </c:pt>
                <c:pt idx="12">
                  <c:v>6.7069999999999999</c:v>
                </c:pt>
                <c:pt idx="13">
                  <c:v>7.1529999999999996</c:v>
                </c:pt>
                <c:pt idx="14">
                  <c:v>7.6309999999999993</c:v>
                </c:pt>
                <c:pt idx="15">
                  <c:v>7.8869999999999996</c:v>
                </c:pt>
                <c:pt idx="16">
                  <c:v>8.222999999999999</c:v>
                </c:pt>
                <c:pt idx="17">
                  <c:v>9.1310000000000002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BE-4C49-BAC4-49803D99B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66024"/>
        <c:axId val="877835640"/>
      </c:scatterChart>
      <c:valAx>
        <c:axId val="350966024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835640"/>
        <c:crosses val="autoZero"/>
        <c:crossBetween val="midCat"/>
        <c:majorUnit val="4"/>
      </c:valAx>
      <c:valAx>
        <c:axId val="8778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</a:t>
                </a:r>
                <a:r>
                  <a:rPr lang="pl-PL" sz="1000" b="0" i="0" u="none" strike="noStrike" baseline="0">
                    <a:effectLst/>
                  </a:rPr>
                  <a:t>µ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0966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7.9284650051432495E-2"/>
          <c:y val="0.90366182319993493"/>
          <c:w val="0.90665559599426171"/>
          <c:h val="4.896474280921070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000"/>
              <a:t>Wykres 4. Czas wykonania różnych algorytmów</a:t>
            </a:r>
            <a:r>
              <a:rPr lang="pl-PL" sz="1000" baseline="0"/>
              <a:t> dla plecaka o pojemności 10 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626028290087901"/>
          <c:y val="0.19305836700533946"/>
          <c:w val="0.73649139495146998"/>
          <c:h val="0.5787515220391265"/>
        </c:manualLayout>
      </c:layout>
      <c:scatterChart>
        <c:scatterStyle val="lineMarker"/>
        <c:varyColors val="0"/>
        <c:ser>
          <c:idx val="4"/>
          <c:order val="0"/>
          <c:tx>
            <c:v>dynamic</c:v>
          </c:tx>
          <c:xVal>
            <c:numRef>
              <c:f>Dynamic100!$H$2:$Y$2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Dynamic100!$H$3:$Y$3</c:f>
              <c:numCache>
                <c:formatCode>General</c:formatCode>
                <c:ptCount val="18"/>
                <c:pt idx="0">
                  <c:v>1.157E-3</c:v>
                </c:pt>
                <c:pt idx="1">
                  <c:v>1.915E-3</c:v>
                </c:pt>
                <c:pt idx="2">
                  <c:v>2.921E-3</c:v>
                </c:pt>
                <c:pt idx="3">
                  <c:v>3.7030000000000001E-3</c:v>
                </c:pt>
                <c:pt idx="4">
                  <c:v>1.5709999999999999E-3</c:v>
                </c:pt>
                <c:pt idx="5">
                  <c:v>1.717E-3</c:v>
                </c:pt>
                <c:pt idx="6">
                  <c:v>1.8550000000000001E-3</c:v>
                </c:pt>
                <c:pt idx="7">
                  <c:v>1.9859999999999999E-3</c:v>
                </c:pt>
                <c:pt idx="8">
                  <c:v>1.9859999999999999E-3</c:v>
                </c:pt>
                <c:pt idx="9">
                  <c:v>2.163E-3</c:v>
                </c:pt>
                <c:pt idx="10">
                  <c:v>2.238E-3</c:v>
                </c:pt>
                <c:pt idx="11">
                  <c:v>2.4320000000000001E-3</c:v>
                </c:pt>
                <c:pt idx="12">
                  <c:v>2.653E-3</c:v>
                </c:pt>
                <c:pt idx="13">
                  <c:v>2.637E-3</c:v>
                </c:pt>
                <c:pt idx="14">
                  <c:v>3.1259999999999999E-3</c:v>
                </c:pt>
                <c:pt idx="15">
                  <c:v>2.9529999999999999E-3</c:v>
                </c:pt>
                <c:pt idx="16">
                  <c:v>3.032E-3</c:v>
                </c:pt>
                <c:pt idx="17">
                  <c:v>3.2009999999999999E-3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9D-434D-9368-2A0AF7E34B39}"/>
            </c:ext>
          </c:extLst>
        </c:ser>
        <c:ser>
          <c:idx val="0"/>
          <c:order val="1"/>
          <c:tx>
            <c:v>greedy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Greedy100!$H$2:$Y$2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Greedy100!$H$3:$Y$3</c:f>
              <c:numCache>
                <c:formatCode>0.0000</c:formatCode>
                <c:ptCount val="18"/>
                <c:pt idx="0">
                  <c:v>9.7499999999999996E-4</c:v>
                </c:pt>
                <c:pt idx="1">
                  <c:v>1.405E-3</c:v>
                </c:pt>
                <c:pt idx="2">
                  <c:v>2.4120000000000001E-3</c:v>
                </c:pt>
                <c:pt idx="3">
                  <c:v>1.9859999999999999E-3</c:v>
                </c:pt>
                <c:pt idx="4">
                  <c:v>1.5950000000000001E-3</c:v>
                </c:pt>
                <c:pt idx="5">
                  <c:v>1.8630000000000001E-3</c:v>
                </c:pt>
                <c:pt idx="6">
                  <c:v>2.238E-3</c:v>
                </c:pt>
                <c:pt idx="7">
                  <c:v>2.5219999999999999E-3</c:v>
                </c:pt>
                <c:pt idx="8">
                  <c:v>2.921E-3</c:v>
                </c:pt>
                <c:pt idx="9">
                  <c:v>3.1580000000000002E-3</c:v>
                </c:pt>
                <c:pt idx="10">
                  <c:v>3.4979999999999998E-3</c:v>
                </c:pt>
                <c:pt idx="11">
                  <c:v>3.8289999999999999E-3</c:v>
                </c:pt>
                <c:pt idx="12">
                  <c:v>4.1650000000000003E-3</c:v>
                </c:pt>
                <c:pt idx="13">
                  <c:v>4.4130000000000003E-3</c:v>
                </c:pt>
                <c:pt idx="14">
                  <c:v>4.9030000000000002E-3</c:v>
                </c:pt>
                <c:pt idx="15">
                  <c:v>5.1520000000000003E-3</c:v>
                </c:pt>
                <c:pt idx="16">
                  <c:v>5.4159999999999998E-3</c:v>
                </c:pt>
                <c:pt idx="17">
                  <c:v>5.803E-3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9D-434D-9368-2A0AF7E34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66024"/>
        <c:axId val="877835640"/>
      </c:scatterChart>
      <c:valAx>
        <c:axId val="350966024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835640"/>
        <c:crosses val="autoZero"/>
        <c:crossBetween val="midCat"/>
        <c:majorUnit val="4"/>
      </c:valAx>
      <c:valAx>
        <c:axId val="8778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0966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7.9284650051432495E-2"/>
          <c:y val="0.90366182319993493"/>
          <c:w val="0.90665559599426171"/>
          <c:h val="4.896474280921070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000"/>
              <a:t>Wykres 5. Czas wykonania różnych algorytmów</a:t>
            </a:r>
            <a:r>
              <a:rPr lang="pl-PL" sz="1000" baseline="0"/>
              <a:t> dla plecaka o pojemności 30 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8592083104236476"/>
          <c:y val="0.19305836700533946"/>
          <c:w val="0.76770235736343229"/>
          <c:h val="0.5787515220391265"/>
        </c:manualLayout>
      </c:layout>
      <c:scatterChart>
        <c:scatterStyle val="lineMarker"/>
        <c:varyColors val="0"/>
        <c:ser>
          <c:idx val="4"/>
          <c:order val="0"/>
          <c:tx>
            <c:v>dynamic</c:v>
          </c:tx>
          <c:xVal>
            <c:numRef>
              <c:f>Dynamic100!$H$2:$Y$2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Dynamic100!$H$5:$Y$5</c:f>
              <c:numCache>
                <c:formatCode>General</c:formatCode>
                <c:ptCount val="18"/>
                <c:pt idx="0">
                  <c:v>2.0370000000000002E-3</c:v>
                </c:pt>
                <c:pt idx="1">
                  <c:v>3.091E-3</c:v>
                </c:pt>
                <c:pt idx="2">
                  <c:v>4.6820000000000004E-3</c:v>
                </c:pt>
                <c:pt idx="3">
                  <c:v>5.7080000000000004E-3</c:v>
                </c:pt>
                <c:pt idx="4">
                  <c:v>3.5839999999999999E-3</c:v>
                </c:pt>
                <c:pt idx="5">
                  <c:v>3.9399999999999999E-3</c:v>
                </c:pt>
                <c:pt idx="6">
                  <c:v>4.4169999999999999E-3</c:v>
                </c:pt>
                <c:pt idx="7">
                  <c:v>4.7959999999999999E-3</c:v>
                </c:pt>
                <c:pt idx="8">
                  <c:v>5.2500000000000003E-3</c:v>
                </c:pt>
                <c:pt idx="9">
                  <c:v>5.6410000000000002E-3</c:v>
                </c:pt>
                <c:pt idx="10">
                  <c:v>6.2570000000000004E-3</c:v>
                </c:pt>
                <c:pt idx="11">
                  <c:v>7.4489999999999999E-3</c:v>
                </c:pt>
                <c:pt idx="12">
                  <c:v>6.7070000000000003E-3</c:v>
                </c:pt>
                <c:pt idx="13">
                  <c:v>7.1529999999999996E-3</c:v>
                </c:pt>
                <c:pt idx="14">
                  <c:v>7.6309999999999998E-3</c:v>
                </c:pt>
                <c:pt idx="15">
                  <c:v>7.8869999999999999E-3</c:v>
                </c:pt>
                <c:pt idx="16">
                  <c:v>8.2229999999999994E-3</c:v>
                </c:pt>
                <c:pt idx="17">
                  <c:v>9.1310000000000002E-3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91-4A2F-A63D-444ADC552287}"/>
            </c:ext>
          </c:extLst>
        </c:ser>
        <c:ser>
          <c:idx val="0"/>
          <c:order val="1"/>
          <c:tx>
            <c:v>greedy</c:v>
          </c:tx>
          <c:xVal>
            <c:numRef>
              <c:f>Greedy100!$H$2:$Y$2</c:f>
              <c:numCache>
                <c:formatCode>General</c:formatCode>
                <c:ptCount val="18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60</c:v>
                </c:pt>
                <c:pt idx="13">
                  <c:v>64</c:v>
                </c:pt>
                <c:pt idx="14">
                  <c:v>68</c:v>
                </c:pt>
                <c:pt idx="15">
                  <c:v>72</c:v>
                </c:pt>
                <c:pt idx="16">
                  <c:v>76</c:v>
                </c:pt>
                <c:pt idx="17">
                  <c:v>80</c:v>
                </c:pt>
              </c:numCache>
            </c:numRef>
          </c:xVal>
          <c:yVal>
            <c:numRef>
              <c:f>Greedy100!$H$5:$Y$5</c:f>
              <c:numCache>
                <c:formatCode>0.0000</c:formatCode>
                <c:ptCount val="18"/>
                <c:pt idx="0">
                  <c:v>1.1329999999999999E-3</c:v>
                </c:pt>
                <c:pt idx="1">
                  <c:v>1.828E-3</c:v>
                </c:pt>
                <c:pt idx="2">
                  <c:v>2.7160000000000001E-3</c:v>
                </c:pt>
                <c:pt idx="3">
                  <c:v>2.3839999999999998E-3</c:v>
                </c:pt>
                <c:pt idx="4">
                  <c:v>1.903E-3</c:v>
                </c:pt>
                <c:pt idx="5">
                  <c:v>2.1670000000000001E-3</c:v>
                </c:pt>
                <c:pt idx="6">
                  <c:v>2.601E-3</c:v>
                </c:pt>
                <c:pt idx="7">
                  <c:v>2.862E-3</c:v>
                </c:pt>
                <c:pt idx="8">
                  <c:v>3.3440000000000002E-3</c:v>
                </c:pt>
                <c:pt idx="9">
                  <c:v>3.5999999999999999E-3</c:v>
                </c:pt>
                <c:pt idx="10">
                  <c:v>4.4530000000000004E-3</c:v>
                </c:pt>
                <c:pt idx="11">
                  <c:v>4.2319999999999997E-3</c:v>
                </c:pt>
                <c:pt idx="12">
                  <c:v>4.5630000000000002E-3</c:v>
                </c:pt>
                <c:pt idx="13">
                  <c:v>5.0020000000000004E-3</c:v>
                </c:pt>
                <c:pt idx="14">
                  <c:v>5.1869999999999998E-3</c:v>
                </c:pt>
                <c:pt idx="15">
                  <c:v>5.5310000000000003E-3</c:v>
                </c:pt>
                <c:pt idx="16">
                  <c:v>6.5209999999999999E-3</c:v>
                </c:pt>
                <c:pt idx="17">
                  <c:v>6.2769999999999996E-3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91-4A2F-A63D-444ADC552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66024"/>
        <c:axId val="877835640"/>
      </c:scatterChart>
      <c:valAx>
        <c:axId val="350966024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835640"/>
        <c:crosses val="autoZero"/>
        <c:crossBetween val="midCat"/>
        <c:majorUnit val="4"/>
      </c:valAx>
      <c:valAx>
        <c:axId val="8778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0966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7.9284650051432495E-2"/>
          <c:y val="0.90366182319993493"/>
          <c:w val="0.90665559599426171"/>
          <c:h val="4.896474280921070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669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Kozieł</dc:creator>
  <cp:keywords/>
  <dc:description/>
  <cp:lastModifiedBy>Avaon</cp:lastModifiedBy>
  <cp:revision>13</cp:revision>
  <cp:lastPrinted>2017-06-13T18:31:00Z</cp:lastPrinted>
  <dcterms:created xsi:type="dcterms:W3CDTF">2017-06-09T12:35:00Z</dcterms:created>
  <dcterms:modified xsi:type="dcterms:W3CDTF">2017-06-13T19:00:00Z</dcterms:modified>
</cp:coreProperties>
</file>