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67127" w14:textId="130C3822" w:rsidR="007433EC" w:rsidRPr="007433EC" w:rsidRDefault="007433EC" w:rsidP="00CF2301">
      <w:pPr>
        <w:pStyle w:val="Nadpis1"/>
        <w:spacing w:before="0"/>
        <w:rPr>
          <w:rFonts w:ascii="Comenia Sans" w:hAnsi="Comenia Sans"/>
        </w:rPr>
      </w:pPr>
      <w:r w:rsidRPr="007433EC">
        <w:rPr>
          <w:rFonts w:ascii="Comenia Sans" w:hAnsi="Comenia Sans"/>
        </w:rPr>
        <w:t>Kontrolní seznam pro hodnocení projektu</w:t>
      </w:r>
    </w:p>
    <w:p w14:paraId="20AFBEA2" w14:textId="77777777" w:rsidR="007433EC" w:rsidRPr="007433EC" w:rsidRDefault="007433EC" w:rsidP="007433EC">
      <w:pPr>
        <w:rPr>
          <w:rFonts w:ascii="Comenia Sans" w:hAnsi="Comenia Sans"/>
        </w:rPr>
      </w:pPr>
      <w:r w:rsidRPr="007433EC">
        <w:rPr>
          <w:rFonts w:ascii="Comenia Sans" w:hAnsi="Comenia Sans"/>
        </w:rPr>
        <w:t>Celkem: 100 bodů</w:t>
      </w:r>
    </w:p>
    <w:p w14:paraId="349682E6" w14:textId="498E87C9" w:rsidR="007433EC" w:rsidRDefault="007433EC" w:rsidP="00D534B1">
      <w:pPr>
        <w:pStyle w:val="Nadpis2"/>
        <w:numPr>
          <w:ilvl w:val="0"/>
          <w:numId w:val="0"/>
        </w:numPr>
      </w:pPr>
      <w:r w:rsidRPr="007433EC">
        <w:t>Autor</w:t>
      </w:r>
      <w:r w:rsidR="00F4009F">
        <w:t>(</w:t>
      </w:r>
      <w:proofErr w:type="spellStart"/>
      <w:r w:rsidR="00F4009F">
        <w:t>ka</w:t>
      </w:r>
      <w:proofErr w:type="spellEnd"/>
      <w:r w:rsidR="00F4009F">
        <w:t>)</w:t>
      </w:r>
      <w:r w:rsidRPr="007433EC">
        <w:t xml:space="preserve"> semestrálního projektu: </w:t>
      </w:r>
    </w:p>
    <w:p w14:paraId="24F3EDFE" w14:textId="3ED3A530" w:rsidR="007433EC" w:rsidRPr="00D534B1" w:rsidRDefault="00AD4082" w:rsidP="00AD4082">
      <w:pPr>
        <w:pStyle w:val="Nadpis2"/>
        <w:numPr>
          <w:ilvl w:val="0"/>
          <w:numId w:val="0"/>
        </w:numPr>
      </w:pPr>
      <w:r>
        <w:t xml:space="preserve">1. </w:t>
      </w:r>
      <w:r w:rsidR="007433EC" w:rsidRPr="00D534B1">
        <w:t>Architektura aplikace (60 bodů)</w:t>
      </w:r>
    </w:p>
    <w:p w14:paraId="3CFDF5A0" w14:textId="149C9C6B" w:rsidR="007433EC" w:rsidRPr="00505639" w:rsidRDefault="00AD4082" w:rsidP="00AD4082">
      <w:pPr>
        <w:pStyle w:val="Nadpis3"/>
        <w:numPr>
          <w:ilvl w:val="0"/>
          <w:numId w:val="0"/>
        </w:numPr>
      </w:pPr>
      <w:r>
        <w:t xml:space="preserve">1.1 </w:t>
      </w:r>
      <w:r w:rsidR="007433EC" w:rsidRPr="00505639">
        <w:t>Stav jako jediný zdroj pravdy (0–15 b)</w:t>
      </w:r>
    </w:p>
    <w:p w14:paraId="5629EE4C" w14:textId="390C08D6" w:rsidR="007D03A3" w:rsidRPr="007D03A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7D03A3" w:rsidRPr="007D03A3">
        <w:rPr>
          <w:rFonts w:ascii="Comenia Sans" w:hAnsi="Comenia Sans"/>
        </w:rPr>
        <w:t>Existuje jediný centrální stav aplikace, který popisuje aktuální situaci systému</w:t>
      </w:r>
    </w:p>
    <w:p w14:paraId="3BA73CEA" w14:textId="1E195AAE" w:rsidR="007D03A3" w:rsidRPr="007D03A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7D03A3" w:rsidRPr="007D03A3">
        <w:rPr>
          <w:rFonts w:ascii="Comenia Sans" w:hAnsi="Comenia Sans"/>
        </w:rPr>
        <w:t xml:space="preserve"> Stav obsahuje doménová i technická data (např. data, stav načítání, chybové stavy)</w:t>
      </w:r>
    </w:p>
    <w:p w14:paraId="26AF99C0" w14:textId="7CF35539" w:rsidR="007D03A3" w:rsidRPr="007D03A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7D03A3" w:rsidRPr="007D03A3">
        <w:rPr>
          <w:rFonts w:ascii="Comenia Sans" w:hAnsi="Comenia Sans"/>
        </w:rPr>
        <w:t xml:space="preserve"> Uživatelské rozhraní neuchovává vlastní pravdu o datech</w:t>
      </w:r>
    </w:p>
    <w:p w14:paraId="51431B71" w14:textId="1648ABCB" w:rsidR="007D03A3" w:rsidRPr="007D03A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7D03A3" w:rsidRPr="007D03A3">
        <w:rPr>
          <w:rFonts w:ascii="Comenia Sans" w:hAnsi="Comenia Sans"/>
        </w:rPr>
        <w:t xml:space="preserve"> Stav není modifikován přímo z UI ani z náhodných částí kódu</w:t>
      </w:r>
    </w:p>
    <w:p w14:paraId="5EB752D8" w14:textId="083938E7" w:rsidR="007D03A3" w:rsidRPr="007D03A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7D03A3" w:rsidRPr="007D03A3">
        <w:rPr>
          <w:rFonts w:ascii="Comenia Sans" w:hAnsi="Comenia Sans"/>
        </w:rPr>
        <w:t xml:space="preserve"> Každá změna stavu je dohledatelná ke konkrétní akci</w:t>
      </w:r>
    </w:p>
    <w:p w14:paraId="2000F5D4" w14:textId="10CF9FFC" w:rsidR="007433EC" w:rsidRPr="007433E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7D03A3" w:rsidRPr="007D03A3">
        <w:rPr>
          <w:rFonts w:ascii="Comenia Sans" w:hAnsi="Comenia Sans"/>
        </w:rPr>
        <w:t xml:space="preserve"> Aplikace je pochopitelná i bez UI pouze ze struktury stavu</w:t>
      </w:r>
    </w:p>
    <w:p w14:paraId="5FE38195" w14:textId="77777777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15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10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30D7A2FF" w14:textId="69AC6131" w:rsidR="007433EC" w:rsidRPr="007433EC" w:rsidRDefault="00AD4082" w:rsidP="00AD4082">
      <w:pPr>
        <w:pStyle w:val="Nadpis3"/>
        <w:numPr>
          <w:ilvl w:val="0"/>
          <w:numId w:val="0"/>
        </w:numPr>
      </w:pPr>
      <w:r>
        <w:t xml:space="preserve">1.2 </w:t>
      </w:r>
      <w:r w:rsidR="00990DFF" w:rsidRPr="00990DFF">
        <w:t xml:space="preserve">Řízení změn stavu pomocí akcí a </w:t>
      </w:r>
      <w:proofErr w:type="spellStart"/>
      <w:r w:rsidR="00990DFF" w:rsidRPr="00990DFF">
        <w:t>dispatcheru</w:t>
      </w:r>
      <w:proofErr w:type="spellEnd"/>
      <w:r w:rsidR="00990DFF" w:rsidRPr="00990DFF">
        <w:t xml:space="preserve"> </w:t>
      </w:r>
      <w:r w:rsidR="007433EC" w:rsidRPr="007433EC">
        <w:t>(0–15 b)</w:t>
      </w:r>
    </w:p>
    <w:p w14:paraId="65E692F9" w14:textId="137F2C35" w:rsidR="00042F22" w:rsidRPr="00042F22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042F22" w:rsidRPr="00042F22">
        <w:rPr>
          <w:rFonts w:ascii="Comenia Sans" w:hAnsi="Comenia Sans"/>
        </w:rPr>
        <w:t>Změny stavu probíhají výhradně prostřednictvím pojmenovaných akcí</w:t>
      </w:r>
    </w:p>
    <w:p w14:paraId="1C81E9B1" w14:textId="230E5136" w:rsidR="00042F22" w:rsidRPr="00042F22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042F22" w:rsidRPr="00042F22">
        <w:rPr>
          <w:rFonts w:ascii="Comenia Sans" w:hAnsi="Comenia Sans"/>
        </w:rPr>
        <w:t xml:space="preserve"> Akce popisují záměr, nikoli technickou událost (klik, </w:t>
      </w:r>
      <w:proofErr w:type="spellStart"/>
      <w:r w:rsidR="00042F22" w:rsidRPr="00042F22">
        <w:rPr>
          <w:rFonts w:ascii="Comenia Sans" w:hAnsi="Comenia Sans"/>
        </w:rPr>
        <w:t>submit</w:t>
      </w:r>
      <w:proofErr w:type="spellEnd"/>
      <w:r w:rsidR="00042F22" w:rsidRPr="00042F22">
        <w:rPr>
          <w:rFonts w:ascii="Comenia Sans" w:hAnsi="Comenia Sans"/>
        </w:rPr>
        <w:t xml:space="preserve"> apod.)</w:t>
      </w:r>
    </w:p>
    <w:p w14:paraId="6F85EBB3" w14:textId="57924FDA" w:rsidR="00042F22" w:rsidRPr="00042F22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042F22" w:rsidRPr="00042F22">
        <w:rPr>
          <w:rFonts w:ascii="Comenia Sans" w:hAnsi="Comenia Sans"/>
        </w:rPr>
        <w:t xml:space="preserve"> Existuje centrální místo (</w:t>
      </w:r>
      <w:proofErr w:type="spellStart"/>
      <w:r w:rsidR="00042F22" w:rsidRPr="00042F22">
        <w:rPr>
          <w:rFonts w:ascii="Comenia Sans" w:hAnsi="Comenia Sans"/>
        </w:rPr>
        <w:t>dispatcher</w:t>
      </w:r>
      <w:proofErr w:type="spellEnd"/>
      <w:r w:rsidR="00042F22" w:rsidRPr="00042F22">
        <w:rPr>
          <w:rFonts w:ascii="Comenia Sans" w:hAnsi="Comenia Sans"/>
        </w:rPr>
        <w:t>), kde jsou akce interpretovány</w:t>
      </w:r>
    </w:p>
    <w:p w14:paraId="24A95D03" w14:textId="74255748" w:rsidR="00042F22" w:rsidRPr="00042F22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042F22" w:rsidRPr="00042F22">
        <w:rPr>
          <w:rFonts w:ascii="Comenia Sans" w:hAnsi="Comenia Sans"/>
        </w:rPr>
        <w:t xml:space="preserve"> </w:t>
      </w:r>
      <w:proofErr w:type="spellStart"/>
      <w:r w:rsidR="00042F22" w:rsidRPr="00042F22">
        <w:rPr>
          <w:rFonts w:ascii="Comenia Sans" w:hAnsi="Comenia Sans"/>
        </w:rPr>
        <w:t>Dispatch</w:t>
      </w:r>
      <w:proofErr w:type="spellEnd"/>
      <w:r w:rsidR="00042F22" w:rsidRPr="00042F22">
        <w:rPr>
          <w:rFonts w:ascii="Comenia Sans" w:hAnsi="Comenia Sans"/>
        </w:rPr>
        <w:t xml:space="preserve"> rozhoduje o změnách stavu v kontextu aktuálního stavu</w:t>
      </w:r>
    </w:p>
    <w:p w14:paraId="1A1EC91B" w14:textId="2CC3F1F0" w:rsidR="00042F22" w:rsidRPr="00042F22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042F22" w:rsidRPr="00042F22">
        <w:rPr>
          <w:rFonts w:ascii="Comenia Sans" w:hAnsi="Comenia Sans"/>
        </w:rPr>
        <w:t xml:space="preserve"> Asynchronní scénáře jsou řízeny explicitně (zahájení, úspěch, chyba)</w:t>
      </w:r>
    </w:p>
    <w:p w14:paraId="4EF75662" w14:textId="691D86A9" w:rsidR="007433EC" w:rsidRPr="007433E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042F22" w:rsidRPr="00042F22">
        <w:rPr>
          <w:rFonts w:ascii="Comenia Sans" w:hAnsi="Comenia Sans"/>
        </w:rPr>
        <w:t xml:space="preserve"> Neexistují skryté změny stavu mimo </w:t>
      </w:r>
      <w:proofErr w:type="spellStart"/>
      <w:r w:rsidR="00042F22" w:rsidRPr="00042F22">
        <w:rPr>
          <w:rFonts w:ascii="Comenia Sans" w:hAnsi="Comenia Sans"/>
        </w:rPr>
        <w:t>dispatcher</w:t>
      </w:r>
      <w:proofErr w:type="spellEnd"/>
    </w:p>
    <w:p w14:paraId="01B9BA2F" w14:textId="77777777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15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10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1C905AF4" w14:textId="1A8FEA7D" w:rsidR="007433EC" w:rsidRPr="007433EC" w:rsidRDefault="00AD4082" w:rsidP="00AD4082">
      <w:pPr>
        <w:pStyle w:val="Nadpis3"/>
        <w:numPr>
          <w:ilvl w:val="0"/>
          <w:numId w:val="0"/>
        </w:numPr>
      </w:pPr>
      <w:r>
        <w:t xml:space="preserve">1.3 </w:t>
      </w:r>
      <w:r w:rsidR="007433EC" w:rsidRPr="007433EC">
        <w:t xml:space="preserve">Oddělení </w:t>
      </w:r>
      <w:r w:rsidR="008C5CD7">
        <w:t>doménové, aplikační a UI logiky</w:t>
      </w:r>
      <w:r w:rsidR="007433EC" w:rsidRPr="007433EC">
        <w:t xml:space="preserve"> (0–15 b)</w:t>
      </w:r>
    </w:p>
    <w:p w14:paraId="107CE4A4" w14:textId="2D386F96" w:rsidR="009A2493" w:rsidRPr="009A249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9A2493" w:rsidRPr="009A2493">
        <w:rPr>
          <w:rFonts w:ascii="Comenia Sans" w:hAnsi="Comenia Sans"/>
        </w:rPr>
        <w:t xml:space="preserve">Doménová logika (pravidla, stavy entit) není v UI ani v </w:t>
      </w:r>
      <w:proofErr w:type="spellStart"/>
      <w:r w:rsidR="009A2493" w:rsidRPr="009A2493">
        <w:rPr>
          <w:rFonts w:ascii="Comenia Sans" w:hAnsi="Comenia Sans"/>
        </w:rPr>
        <w:t>render</w:t>
      </w:r>
      <w:proofErr w:type="spellEnd"/>
      <w:r w:rsidR="009A2493" w:rsidRPr="009A2493">
        <w:rPr>
          <w:rFonts w:ascii="Comenia Sans" w:hAnsi="Comenia Sans"/>
        </w:rPr>
        <w:t xml:space="preserve"> funkcích</w:t>
      </w:r>
    </w:p>
    <w:p w14:paraId="4383AE61" w14:textId="1E6BA93E" w:rsidR="009A2493" w:rsidRPr="009A249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9A2493" w:rsidRPr="009A2493">
        <w:rPr>
          <w:rFonts w:ascii="Comenia Sans" w:hAnsi="Comenia Sans"/>
        </w:rPr>
        <w:t xml:space="preserve"> Aplikační logika (scénáře, koordinace) je oddělená od domény i UI</w:t>
      </w:r>
    </w:p>
    <w:p w14:paraId="0DE244B8" w14:textId="0C11B579" w:rsidR="009A2493" w:rsidRPr="009A249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9A2493" w:rsidRPr="009A2493">
        <w:rPr>
          <w:rFonts w:ascii="Comenia Sans" w:hAnsi="Comenia Sans"/>
        </w:rPr>
        <w:t xml:space="preserve"> UI řeší pouze projekci stavu a sběr vstupů, nikoli rozhodování</w:t>
      </w:r>
    </w:p>
    <w:p w14:paraId="252A48BC" w14:textId="09BBFE26" w:rsidR="009A2493" w:rsidRPr="009A249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9A2493" w:rsidRPr="009A2493">
        <w:rPr>
          <w:rFonts w:ascii="Comenia Sans" w:hAnsi="Comenia Sans"/>
        </w:rPr>
        <w:t xml:space="preserve"> Doménové entity nejsou závislé na DOM, </w:t>
      </w:r>
      <w:proofErr w:type="spellStart"/>
      <w:r w:rsidR="009A2493" w:rsidRPr="009A2493">
        <w:rPr>
          <w:rFonts w:ascii="Comenia Sans" w:hAnsi="Comenia Sans"/>
        </w:rPr>
        <w:t>routingu</w:t>
      </w:r>
      <w:proofErr w:type="spellEnd"/>
      <w:r w:rsidR="009A2493" w:rsidRPr="009A2493">
        <w:rPr>
          <w:rFonts w:ascii="Comenia Sans" w:hAnsi="Comenia Sans"/>
        </w:rPr>
        <w:t xml:space="preserve"> ani API</w:t>
      </w:r>
    </w:p>
    <w:p w14:paraId="2A3B28CA" w14:textId="4E5ABAC5" w:rsidR="009A2493" w:rsidRPr="009A2493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9A2493" w:rsidRPr="009A2493">
        <w:rPr>
          <w:rFonts w:ascii="Comenia Sans" w:hAnsi="Comenia Sans"/>
        </w:rPr>
        <w:t xml:space="preserve"> Jednotlivé vrstvy lze číst a chápat samostatně</w:t>
      </w:r>
    </w:p>
    <w:p w14:paraId="4DE3A531" w14:textId="02994E3A" w:rsidR="007433EC" w:rsidRPr="007433E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9A2493" w:rsidRPr="009A2493">
        <w:rPr>
          <w:rFonts w:ascii="Comenia Sans" w:hAnsi="Comenia Sans"/>
        </w:rPr>
        <w:t xml:space="preserve"> Změna UI nevyžaduje změnu doménové logiky</w:t>
      </w:r>
    </w:p>
    <w:p w14:paraId="31451F92" w14:textId="77777777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15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10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72C4DE1F" w14:textId="52E4CD1D" w:rsidR="007433EC" w:rsidRPr="007433EC" w:rsidRDefault="00AD4082" w:rsidP="00AD4082">
      <w:pPr>
        <w:pStyle w:val="Nadpis3"/>
        <w:numPr>
          <w:ilvl w:val="0"/>
          <w:numId w:val="0"/>
        </w:numPr>
      </w:pPr>
      <w:r>
        <w:lastRenderedPageBreak/>
        <w:t xml:space="preserve">1.4 </w:t>
      </w:r>
      <w:r w:rsidR="007433EC" w:rsidRPr="007433EC">
        <w:t>Práce s kontexty (0–10 b)</w:t>
      </w:r>
    </w:p>
    <w:p w14:paraId="3CF98842" w14:textId="4C5F6457" w:rsidR="00420F0C" w:rsidRPr="00420F0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420F0C" w:rsidRPr="00420F0C">
        <w:rPr>
          <w:rFonts w:ascii="Comenia Sans" w:hAnsi="Comenia Sans"/>
        </w:rPr>
        <w:t>Aplikace explicitně pracuje s rolemi uživatelů</w:t>
      </w:r>
    </w:p>
    <w:p w14:paraId="62410692" w14:textId="23D62E3E" w:rsidR="00420F0C" w:rsidRPr="00420F0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420F0C" w:rsidRPr="00420F0C">
        <w:rPr>
          <w:rFonts w:ascii="Comenia Sans" w:hAnsi="Comenia Sans"/>
        </w:rPr>
        <w:t xml:space="preserve"> Navigace je chápána jako součást aplikačního kontextu, ne jako technický detail</w:t>
      </w:r>
    </w:p>
    <w:p w14:paraId="442DB47F" w14:textId="56FF8676" w:rsidR="00420F0C" w:rsidRPr="00420F0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420F0C" w:rsidRPr="00420F0C">
        <w:rPr>
          <w:rFonts w:ascii="Comenia Sans" w:hAnsi="Comenia Sans"/>
        </w:rPr>
        <w:t xml:space="preserve"> Stav UI (</w:t>
      </w:r>
      <w:proofErr w:type="spellStart"/>
      <w:r w:rsidR="00420F0C" w:rsidRPr="00420F0C">
        <w:rPr>
          <w:rFonts w:ascii="Comenia Sans" w:hAnsi="Comenia Sans"/>
        </w:rPr>
        <w:t>loading</w:t>
      </w:r>
      <w:proofErr w:type="spellEnd"/>
      <w:r w:rsidR="00420F0C" w:rsidRPr="00420F0C">
        <w:rPr>
          <w:rFonts w:ascii="Comenia Sans" w:hAnsi="Comenia Sans"/>
        </w:rPr>
        <w:t xml:space="preserve">, </w:t>
      </w:r>
      <w:proofErr w:type="spellStart"/>
      <w:r w:rsidR="00420F0C" w:rsidRPr="00420F0C">
        <w:rPr>
          <w:rFonts w:ascii="Comenia Sans" w:hAnsi="Comenia Sans"/>
        </w:rPr>
        <w:t>ready</w:t>
      </w:r>
      <w:proofErr w:type="spellEnd"/>
      <w:r w:rsidR="00420F0C" w:rsidRPr="00420F0C">
        <w:rPr>
          <w:rFonts w:ascii="Comenia Sans" w:hAnsi="Comenia Sans"/>
        </w:rPr>
        <w:t xml:space="preserve">, </w:t>
      </w:r>
      <w:proofErr w:type="spellStart"/>
      <w:r w:rsidR="00420F0C" w:rsidRPr="00420F0C">
        <w:rPr>
          <w:rFonts w:ascii="Comenia Sans" w:hAnsi="Comenia Sans"/>
        </w:rPr>
        <w:t>error</w:t>
      </w:r>
      <w:proofErr w:type="spellEnd"/>
      <w:r w:rsidR="00420F0C" w:rsidRPr="00420F0C">
        <w:rPr>
          <w:rFonts w:ascii="Comenia Sans" w:hAnsi="Comenia Sans"/>
        </w:rPr>
        <w:t xml:space="preserve"> apod.) je součástí stavu aplikace</w:t>
      </w:r>
    </w:p>
    <w:p w14:paraId="4537FF5E" w14:textId="165BB370" w:rsidR="00420F0C" w:rsidRPr="00420F0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420F0C" w:rsidRPr="00420F0C">
        <w:rPr>
          <w:rFonts w:ascii="Comenia Sans" w:hAnsi="Comenia Sans"/>
        </w:rPr>
        <w:t xml:space="preserve"> Povolené akce závisí na kombinaci kontextů (role, stav, navigace)</w:t>
      </w:r>
    </w:p>
    <w:p w14:paraId="0EE04DD3" w14:textId="1EF7754C" w:rsidR="007433EC" w:rsidRPr="007433E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>[ ]</w:t>
      </w:r>
      <w:r w:rsidR="00420F0C" w:rsidRPr="00420F0C">
        <w:rPr>
          <w:rFonts w:ascii="Comenia Sans" w:hAnsi="Comenia Sans"/>
        </w:rPr>
        <w:t xml:space="preserve"> Kontexty nejsou zakódované implicitně v UI nebo routách</w:t>
      </w:r>
    </w:p>
    <w:p w14:paraId="4E163F37" w14:textId="77777777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10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7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4FB0222B" w14:textId="105EF6FE" w:rsidR="007433EC" w:rsidRPr="007433EC" w:rsidRDefault="00125508" w:rsidP="00125508">
      <w:pPr>
        <w:pStyle w:val="Nadpis3"/>
        <w:numPr>
          <w:ilvl w:val="0"/>
          <w:numId w:val="0"/>
        </w:numPr>
      </w:pPr>
      <w:r>
        <w:t xml:space="preserve">1.5 </w:t>
      </w:r>
      <w:r w:rsidR="007433EC" w:rsidRPr="007433EC">
        <w:t>Selektory a projekce</w:t>
      </w:r>
      <w:r w:rsidR="008C5CD7">
        <w:t xml:space="preserve"> stavu</w:t>
      </w:r>
      <w:r w:rsidR="007433EC" w:rsidRPr="007433EC">
        <w:t xml:space="preserve"> (0–5 b)</w:t>
      </w:r>
    </w:p>
    <w:p w14:paraId="3BF9D67E" w14:textId="20560480" w:rsidR="00B95AE1" w:rsidRPr="00B95AE1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B95AE1" w:rsidRPr="00B95AE1">
        <w:rPr>
          <w:rFonts w:ascii="Comenia Sans" w:hAnsi="Comenia Sans"/>
        </w:rPr>
        <w:t>Data pro UI jsou vybírána pomocí explicitních selektorů</w:t>
      </w:r>
    </w:p>
    <w:p w14:paraId="61185C3F" w14:textId="7B444D93" w:rsidR="00B95AE1" w:rsidRPr="00B95AE1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B95AE1" w:rsidRPr="00B95AE1">
        <w:rPr>
          <w:rFonts w:ascii="Comenia Sans" w:hAnsi="Comenia Sans"/>
        </w:rPr>
        <w:t>Selektory neobsahují změny stavu ani vedlejší efekty</w:t>
      </w:r>
    </w:p>
    <w:p w14:paraId="20186EEA" w14:textId="16240009" w:rsidR="00B95AE1" w:rsidRPr="00B95AE1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B95AE1" w:rsidRPr="00B95AE1">
        <w:rPr>
          <w:rFonts w:ascii="Comenia Sans" w:hAnsi="Comenia Sans"/>
        </w:rPr>
        <w:t>Pohledy pracují s připravenými daty, nikoli s celým stavem</w:t>
      </w:r>
    </w:p>
    <w:p w14:paraId="61B96FEC" w14:textId="507EBEA5" w:rsidR="00B95AE1" w:rsidRPr="00B95AE1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B95AE1" w:rsidRPr="00B95AE1">
        <w:rPr>
          <w:rFonts w:ascii="Comenia Sans" w:hAnsi="Comenia Sans"/>
        </w:rPr>
        <w:t>Stejný stav může být promítán do různých pohledů</w:t>
      </w:r>
    </w:p>
    <w:p w14:paraId="0116306F" w14:textId="4B53F502" w:rsidR="007433EC" w:rsidRPr="007433EC" w:rsidRDefault="00863D38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B95AE1" w:rsidRPr="00B95AE1">
        <w:rPr>
          <w:rFonts w:ascii="Comenia Sans" w:hAnsi="Comenia Sans"/>
        </w:rPr>
        <w:t>Projekce stavu je deterministická (stejný vstup → stejný výstup)</w:t>
      </w:r>
    </w:p>
    <w:p w14:paraId="4B4CD5E9" w14:textId="77777777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24FBD935" w14:textId="7C29D52E" w:rsidR="00252221" w:rsidRPr="00252221" w:rsidRDefault="00125508" w:rsidP="00125508">
      <w:pPr>
        <w:pStyle w:val="Nadpis2"/>
        <w:keepNext w:val="0"/>
        <w:keepLines w:val="0"/>
        <w:numPr>
          <w:ilvl w:val="0"/>
          <w:numId w:val="0"/>
        </w:numPr>
      </w:pPr>
      <w:r>
        <w:t xml:space="preserve">2. </w:t>
      </w:r>
      <w:r w:rsidR="007433EC" w:rsidRPr="007433EC">
        <w:t>Individuální hodnocení člena týmu (15 bodů / student)</w:t>
      </w:r>
    </w:p>
    <w:p w14:paraId="4EE16FAB" w14:textId="3C435D29" w:rsidR="007433EC" w:rsidRPr="007433EC" w:rsidRDefault="00125508" w:rsidP="00125508">
      <w:pPr>
        <w:pStyle w:val="Nadpis3"/>
        <w:numPr>
          <w:ilvl w:val="0"/>
          <w:numId w:val="0"/>
        </w:numPr>
      </w:pPr>
      <w:r>
        <w:t xml:space="preserve">2.1 </w:t>
      </w:r>
      <w:r w:rsidR="007433EC" w:rsidRPr="007433EC">
        <w:t>Vymezená odpovědnost (0–5 b)</w:t>
      </w:r>
    </w:p>
    <w:p w14:paraId="3985BFB3" w14:textId="45D9B90F" w:rsidR="007433EC" w:rsidRDefault="00F275A6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A241F0" w:rsidRPr="00A241F0">
        <w:rPr>
          <w:rFonts w:ascii="Comenia Sans" w:hAnsi="Comenia Sans"/>
        </w:rPr>
        <w:t>Odpovědnost studenta je jasně vymezena</w:t>
      </w:r>
    </w:p>
    <w:p w14:paraId="22D69434" w14:textId="4C9D3D5B" w:rsidR="003C23CB" w:rsidRDefault="00F275A6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3C23CB">
        <w:rPr>
          <w:rFonts w:ascii="Comenia Sans" w:hAnsi="Comenia Sans"/>
        </w:rPr>
        <w:t xml:space="preserve">Je </w:t>
      </w:r>
      <w:r w:rsidR="007560C9">
        <w:rPr>
          <w:rFonts w:ascii="Comenia Sans" w:hAnsi="Comenia Sans"/>
        </w:rPr>
        <w:t>zřejmé, za jaké business entity / stavové automaty student odpovídal</w:t>
      </w:r>
    </w:p>
    <w:p w14:paraId="6CBC3AE3" w14:textId="47479BC8" w:rsidR="007560C9" w:rsidRPr="007433EC" w:rsidRDefault="00F275A6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7560C9">
        <w:rPr>
          <w:rFonts w:ascii="Comenia Sans" w:hAnsi="Comenia Sans"/>
        </w:rPr>
        <w:t>Je zřejmé, jaké infrastrukturní ro</w:t>
      </w:r>
      <w:r w:rsidR="00BB708E">
        <w:rPr>
          <w:rFonts w:ascii="Comenia Sans" w:hAnsi="Comenia Sans"/>
        </w:rPr>
        <w:t>l</w:t>
      </w:r>
      <w:r w:rsidR="007560C9">
        <w:rPr>
          <w:rFonts w:ascii="Comenia Sans" w:hAnsi="Comenia Sans"/>
        </w:rPr>
        <w:t>e student realizoval</w:t>
      </w:r>
    </w:p>
    <w:p w14:paraId="5B1801EE" w14:textId="21302BB0" w:rsidR="007433EC" w:rsidRPr="007433EC" w:rsidRDefault="00F275A6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BB708E">
        <w:rPr>
          <w:rFonts w:ascii="Comenia Sans" w:hAnsi="Comenia Sans"/>
        </w:rPr>
        <w:t>Odpovědnost se nepřekrývá nejasně s jinými členy týmu</w:t>
      </w:r>
    </w:p>
    <w:p w14:paraId="2CE8F884" w14:textId="6F7E7E9E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FF6EDB" w:rsidRPr="007433EC">
        <w:rPr>
          <w:rFonts w:ascii="Segoe UI Symbol" w:hAnsi="Segoe UI Symbol" w:cs="Segoe UI Symbol"/>
          <w:sz w:val="24"/>
          <w:szCs w:val="24"/>
        </w:rPr>
        <w:t>☐</w:t>
      </w:r>
      <w:r w:rsidR="00FF6EDB" w:rsidRPr="007433EC">
        <w:rPr>
          <w:rFonts w:ascii="Comenia Sans" w:hAnsi="Comenia Sans"/>
          <w:sz w:val="24"/>
          <w:szCs w:val="24"/>
        </w:rPr>
        <w:t xml:space="preserve"> </w:t>
      </w:r>
      <w:r w:rsidR="00FF6EDB">
        <w:rPr>
          <w:rFonts w:ascii="Comenia Sans" w:hAnsi="Comenia Sans"/>
          <w:sz w:val="24"/>
          <w:szCs w:val="24"/>
        </w:rPr>
        <w:t>1</w:t>
      </w:r>
      <w:r w:rsidR="00FF6EDB" w:rsidRPr="007433EC">
        <w:rPr>
          <w:rFonts w:ascii="Comenia Sans" w:hAnsi="Comenia Sans"/>
          <w:sz w:val="24"/>
          <w:szCs w:val="24"/>
        </w:rPr>
        <w:t xml:space="preserve">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173F1A4F" w14:textId="389B2683" w:rsidR="007433EC" w:rsidRPr="007433EC" w:rsidRDefault="00125508" w:rsidP="00125508">
      <w:pPr>
        <w:pStyle w:val="Nadpis3"/>
        <w:numPr>
          <w:ilvl w:val="0"/>
          <w:numId w:val="0"/>
        </w:numPr>
      </w:pPr>
      <w:r>
        <w:t xml:space="preserve">2.2 </w:t>
      </w:r>
      <w:r w:rsidR="007433EC" w:rsidRPr="007433EC">
        <w:t>Funkčnost vlastní části (0–5 b)</w:t>
      </w:r>
    </w:p>
    <w:p w14:paraId="6AE110EE" w14:textId="3E1F064E" w:rsidR="007433EC" w:rsidRPr="007433EC" w:rsidRDefault="003C771C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824FF3" w:rsidRPr="00824FF3">
        <w:rPr>
          <w:rFonts w:ascii="Comenia Sans" w:hAnsi="Comenia Sans"/>
        </w:rPr>
        <w:t xml:space="preserve">Funkčnost </w:t>
      </w:r>
      <w:r w:rsidR="00824FF3">
        <w:rPr>
          <w:rFonts w:ascii="Comenia Sans" w:hAnsi="Comenia Sans"/>
        </w:rPr>
        <w:t>vlastní</w:t>
      </w:r>
      <w:r w:rsidR="00824FF3" w:rsidRPr="00824FF3">
        <w:rPr>
          <w:rFonts w:ascii="Comenia Sans" w:hAnsi="Comenia Sans"/>
        </w:rPr>
        <w:t xml:space="preserve"> části je doložena samostatně</w:t>
      </w:r>
    </w:p>
    <w:p w14:paraId="575363B2" w14:textId="4741BB06" w:rsidR="007433EC" w:rsidRDefault="003C771C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F6230D" w:rsidRPr="00F6230D">
        <w:rPr>
          <w:rFonts w:ascii="Comenia Sans" w:hAnsi="Comenia Sans"/>
        </w:rPr>
        <w:t>Lze ji ověřit nezávisle na zbytku aplikace</w:t>
      </w:r>
    </w:p>
    <w:p w14:paraId="77A36973" w14:textId="3FB0A31B" w:rsidR="00F6230D" w:rsidRPr="007433EC" w:rsidRDefault="003C771C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F6230D" w:rsidRPr="00F6230D">
        <w:rPr>
          <w:rFonts w:ascii="Comenia Sans" w:hAnsi="Comenia Sans"/>
        </w:rPr>
        <w:t>Jsou k dispozici testy / skripty / scénáře</w:t>
      </w:r>
    </w:p>
    <w:p w14:paraId="3524952E" w14:textId="766E190C" w:rsidR="007433EC" w:rsidRPr="007433EC" w:rsidRDefault="003C771C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D8688B" w:rsidRPr="00D8688B">
        <w:rPr>
          <w:rFonts w:ascii="Comenia Sans" w:hAnsi="Comenia Sans"/>
        </w:rPr>
        <w:t>Doložení není pouze slovní nebo deklarativní</w:t>
      </w:r>
    </w:p>
    <w:p w14:paraId="577BE6AB" w14:textId="123C6B52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FF6EDB" w:rsidRPr="007433EC">
        <w:rPr>
          <w:rFonts w:ascii="Segoe UI Symbol" w:hAnsi="Segoe UI Symbol" w:cs="Segoe UI Symbol"/>
          <w:sz w:val="24"/>
          <w:szCs w:val="24"/>
        </w:rPr>
        <w:t>☐</w:t>
      </w:r>
      <w:r w:rsidR="00FF6EDB" w:rsidRPr="007433EC">
        <w:rPr>
          <w:rFonts w:ascii="Comenia Sans" w:hAnsi="Comenia Sans"/>
          <w:sz w:val="24"/>
          <w:szCs w:val="24"/>
        </w:rPr>
        <w:t xml:space="preserve"> </w:t>
      </w:r>
      <w:r w:rsidR="00FF6EDB">
        <w:rPr>
          <w:rFonts w:ascii="Comenia Sans" w:hAnsi="Comenia Sans"/>
          <w:sz w:val="24"/>
          <w:szCs w:val="24"/>
        </w:rPr>
        <w:t>1</w:t>
      </w:r>
      <w:r w:rsidR="00FF6EDB" w:rsidRPr="007433EC">
        <w:rPr>
          <w:rFonts w:ascii="Comenia Sans" w:hAnsi="Comenia Sans"/>
          <w:sz w:val="24"/>
          <w:szCs w:val="24"/>
        </w:rPr>
        <w:t xml:space="preserve">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71767731" w14:textId="35E0B170" w:rsidR="007433EC" w:rsidRPr="007433EC" w:rsidRDefault="00125508" w:rsidP="00125508">
      <w:pPr>
        <w:pStyle w:val="Nadpis3"/>
        <w:numPr>
          <w:ilvl w:val="0"/>
          <w:numId w:val="0"/>
        </w:numPr>
      </w:pPr>
      <w:r>
        <w:lastRenderedPageBreak/>
        <w:t xml:space="preserve">2.3 </w:t>
      </w:r>
      <w:r w:rsidR="00AA60B2">
        <w:t>Reflexe rozhodnutí a spolupráce</w:t>
      </w:r>
      <w:r w:rsidR="007433EC" w:rsidRPr="007433EC">
        <w:t xml:space="preserve"> (0–5 b)</w:t>
      </w:r>
    </w:p>
    <w:p w14:paraId="68C7849D" w14:textId="5779D346" w:rsidR="007433EC" w:rsidRPr="007433EC" w:rsidRDefault="003C771C" w:rsidP="00CF2301">
      <w:pPr>
        <w:keepNext/>
        <w:ind w:left="357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D8688B" w:rsidRPr="00D8688B">
        <w:rPr>
          <w:rFonts w:ascii="Comenia Sans" w:hAnsi="Comenia Sans"/>
        </w:rPr>
        <w:t>Student rozumí svým rozhodnutím</w:t>
      </w:r>
    </w:p>
    <w:p w14:paraId="493777F1" w14:textId="76428ABA" w:rsidR="007433EC" w:rsidRDefault="003C771C" w:rsidP="00CF2301">
      <w:pPr>
        <w:keepNext/>
        <w:ind w:left="357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E849B8" w:rsidRPr="00E849B8">
        <w:rPr>
          <w:rFonts w:ascii="Comenia Sans" w:hAnsi="Comenia Sans"/>
        </w:rPr>
        <w:t>Dokáže vysvětlit dopady do architektury</w:t>
      </w:r>
    </w:p>
    <w:p w14:paraId="072BD6B4" w14:textId="71D0F4BB" w:rsidR="00E849B8" w:rsidRDefault="003C771C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E849B8" w:rsidRPr="00E849B8">
        <w:rPr>
          <w:rFonts w:ascii="Comenia Sans" w:hAnsi="Comenia Sans"/>
        </w:rPr>
        <w:t>Popisuje vazby na práci ostatních</w:t>
      </w:r>
    </w:p>
    <w:p w14:paraId="04855B6A" w14:textId="7849B12D" w:rsidR="00E849B8" w:rsidRPr="007433EC" w:rsidRDefault="003C771C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E849B8" w:rsidRPr="00E849B8">
        <w:rPr>
          <w:rFonts w:ascii="Comenia Sans" w:hAnsi="Comenia Sans"/>
        </w:rPr>
        <w:t>Reflexe není pouze popis činností</w:t>
      </w:r>
    </w:p>
    <w:p w14:paraId="77C92593" w14:textId="6997B93C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="00FF6EDB" w:rsidRPr="007433EC">
        <w:rPr>
          <w:rFonts w:ascii="Segoe UI Symbol" w:hAnsi="Segoe UI Symbol" w:cs="Segoe UI Symbol"/>
          <w:sz w:val="24"/>
          <w:szCs w:val="24"/>
        </w:rPr>
        <w:t>☐</w:t>
      </w:r>
      <w:r w:rsidR="00FF6EDB" w:rsidRPr="007433EC">
        <w:rPr>
          <w:rFonts w:ascii="Comenia Sans" w:hAnsi="Comenia Sans"/>
          <w:sz w:val="24"/>
          <w:szCs w:val="24"/>
        </w:rPr>
        <w:t xml:space="preserve"> </w:t>
      </w:r>
      <w:r w:rsidR="00FF6EDB">
        <w:rPr>
          <w:rFonts w:ascii="Comenia Sans" w:hAnsi="Comenia Sans"/>
          <w:sz w:val="24"/>
          <w:szCs w:val="24"/>
        </w:rPr>
        <w:t>1</w:t>
      </w:r>
      <w:r w:rsidR="00FF6EDB" w:rsidRPr="007433EC">
        <w:rPr>
          <w:rFonts w:ascii="Comenia Sans" w:hAnsi="Comenia Sans"/>
          <w:sz w:val="24"/>
          <w:szCs w:val="24"/>
        </w:rPr>
        <w:t xml:space="preserve">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53B35235" w14:textId="2D2CC844" w:rsidR="007433EC" w:rsidRPr="007433EC" w:rsidRDefault="00125508" w:rsidP="00125508">
      <w:pPr>
        <w:pStyle w:val="Nadpis2"/>
        <w:keepNext w:val="0"/>
        <w:keepLines w:val="0"/>
        <w:numPr>
          <w:ilvl w:val="0"/>
          <w:numId w:val="0"/>
        </w:numPr>
      </w:pPr>
      <w:r>
        <w:t xml:space="preserve">3. </w:t>
      </w:r>
      <w:r w:rsidR="007433EC" w:rsidRPr="007433EC">
        <w:t>Dokumentace projektu (15 bodů)</w:t>
      </w:r>
    </w:p>
    <w:p w14:paraId="2165A26F" w14:textId="0DA02470" w:rsidR="007433EC" w:rsidRPr="007433EC" w:rsidRDefault="00125508" w:rsidP="00125508">
      <w:pPr>
        <w:pStyle w:val="Nadpis3"/>
        <w:keepNext w:val="0"/>
        <w:keepLines w:val="0"/>
        <w:numPr>
          <w:ilvl w:val="0"/>
          <w:numId w:val="0"/>
        </w:numPr>
      </w:pPr>
      <w:r>
        <w:t xml:space="preserve">3.1 </w:t>
      </w:r>
      <w:r w:rsidR="007433EC" w:rsidRPr="007433EC">
        <w:t>Architektonický popis (0–5 b)</w:t>
      </w:r>
    </w:p>
    <w:p w14:paraId="5315345F" w14:textId="4366CADA" w:rsidR="007433EC" w:rsidRP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0164C1" w:rsidRPr="000164C1">
        <w:rPr>
          <w:rFonts w:ascii="Comenia Sans" w:hAnsi="Comenia Sans"/>
        </w:rPr>
        <w:t xml:space="preserve">Dokumentace popisuje architekturu aplikace na úrovni pojmů (stav, akce, </w:t>
      </w:r>
      <w:proofErr w:type="spellStart"/>
      <w:r w:rsidR="000164C1" w:rsidRPr="000164C1">
        <w:rPr>
          <w:rFonts w:ascii="Comenia Sans" w:hAnsi="Comenia Sans"/>
        </w:rPr>
        <w:t>dispatcher</w:t>
      </w:r>
      <w:proofErr w:type="spellEnd"/>
      <w:r w:rsidR="000164C1" w:rsidRPr="000164C1">
        <w:rPr>
          <w:rFonts w:ascii="Comenia Sans" w:hAnsi="Comenia Sans"/>
        </w:rPr>
        <w:t>, pohledy, selektory, API), nikoli jako výčet souborů</w:t>
      </w:r>
    </w:p>
    <w:p w14:paraId="6F86F541" w14:textId="5980D9C5" w:rsidR="007433EC" w:rsidRP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0164C1" w:rsidRPr="000164C1">
        <w:rPr>
          <w:rFonts w:ascii="Comenia Sans" w:hAnsi="Comenia Sans"/>
        </w:rPr>
        <w:t>Je zřejmé, kde je zdroj pravdy o stavu a jak se stav mění</w:t>
      </w:r>
    </w:p>
    <w:p w14:paraId="277BA92A" w14:textId="3F2F4CD5" w:rsid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4355C4" w:rsidRPr="004355C4">
        <w:rPr>
          <w:rFonts w:ascii="Comenia Sans" w:hAnsi="Comenia Sans"/>
        </w:rPr>
        <w:t>Je vysvětleno, jak spolu komunikují hlavní části aplikace</w:t>
      </w:r>
    </w:p>
    <w:p w14:paraId="02DB3025" w14:textId="14A3614C" w:rsidR="004355C4" w:rsidRP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4355C4" w:rsidRPr="004355C4">
        <w:rPr>
          <w:rFonts w:ascii="Comenia Sans" w:hAnsi="Comenia Sans"/>
        </w:rPr>
        <w:t>Text je srozumitelný bez nutnosti číst kód</w:t>
      </w:r>
    </w:p>
    <w:p w14:paraId="4E156F1F" w14:textId="77777777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7E5486DC" w14:textId="53EE7159" w:rsidR="007433EC" w:rsidRPr="007433EC" w:rsidRDefault="00125508" w:rsidP="00125508">
      <w:pPr>
        <w:pStyle w:val="Nadpis3"/>
        <w:numPr>
          <w:ilvl w:val="0"/>
          <w:numId w:val="0"/>
        </w:numPr>
      </w:pPr>
      <w:r>
        <w:t xml:space="preserve">3.2 </w:t>
      </w:r>
      <w:r w:rsidR="007433EC" w:rsidRPr="007433EC">
        <w:t>Dělba práce (0–5 b)</w:t>
      </w:r>
    </w:p>
    <w:p w14:paraId="0BC6AD19" w14:textId="5AD852E3" w:rsidR="007433EC" w:rsidRPr="007433EC" w:rsidRDefault="004B513F" w:rsidP="00DC091D">
      <w:pPr>
        <w:keepNext/>
        <w:ind w:left="357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4355C4" w:rsidRPr="004355C4">
        <w:rPr>
          <w:rFonts w:ascii="Comenia Sans" w:hAnsi="Comenia Sans"/>
        </w:rPr>
        <w:t>Je jasně uvedeno, kdo je odpovědný za kterou business entitu a její stavový automat</w:t>
      </w:r>
    </w:p>
    <w:p w14:paraId="5FEB3F45" w14:textId="37F0A3BC" w:rsidR="007433EC" w:rsidRP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BC5969" w:rsidRPr="00BC5969">
        <w:rPr>
          <w:rFonts w:ascii="Comenia Sans" w:hAnsi="Comenia Sans"/>
        </w:rPr>
        <w:t>Je uvedeno, které infrastrukturní role (ir01–ir08) má který člen týmu na starosti</w:t>
      </w:r>
    </w:p>
    <w:p w14:paraId="5EE713D4" w14:textId="75DC7057" w:rsid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BC5969" w:rsidRPr="00BC5969">
        <w:rPr>
          <w:rFonts w:ascii="Comenia Sans" w:hAnsi="Comenia Sans"/>
        </w:rPr>
        <w:t>Je popsáno, jak byla práce v</w:t>
      </w:r>
      <w:r w:rsidR="00125508">
        <w:rPr>
          <w:rFonts w:ascii="Comenia Sans" w:hAnsi="Comenia Sans"/>
        </w:rPr>
        <w:t> </w:t>
      </w:r>
      <w:r w:rsidR="00BC5969" w:rsidRPr="00BC5969">
        <w:rPr>
          <w:rFonts w:ascii="Comenia Sans" w:hAnsi="Comenia Sans"/>
        </w:rPr>
        <w:t>týmu koordinována (dohody, návaznosti, integrace)</w:t>
      </w:r>
    </w:p>
    <w:p w14:paraId="1EBB6E13" w14:textId="3F750CC9" w:rsidR="00BC5969" w:rsidRPr="007433EC" w:rsidRDefault="004B513F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644B15" w:rsidRPr="00644B15">
        <w:rPr>
          <w:rFonts w:ascii="Comenia Sans" w:hAnsi="Comenia Sans"/>
        </w:rPr>
        <w:t>Dokumentace umožňuje hodnotit přínos jednotlivých členů nezávisle na funkčnosti celku</w:t>
      </w:r>
    </w:p>
    <w:p w14:paraId="61F09D15" w14:textId="77777777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7D298EED" w14:textId="29C39FB0" w:rsidR="007433EC" w:rsidRPr="007433EC" w:rsidRDefault="00125508" w:rsidP="00125508">
      <w:pPr>
        <w:pStyle w:val="Nadpis3"/>
        <w:numPr>
          <w:ilvl w:val="0"/>
          <w:numId w:val="0"/>
        </w:numPr>
      </w:pPr>
      <w:r>
        <w:t xml:space="preserve">3.3 </w:t>
      </w:r>
      <w:r w:rsidR="007433EC" w:rsidRPr="007433EC">
        <w:t>Struktura a čitelnost (0–5 b)</w:t>
      </w:r>
    </w:p>
    <w:p w14:paraId="3E5D0FBC" w14:textId="005A1A6C" w:rsidR="007433EC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644B15" w:rsidRPr="00644B15">
        <w:rPr>
          <w:rFonts w:ascii="Comenia Sans" w:hAnsi="Comenia Sans"/>
        </w:rPr>
        <w:t>Dokumentace má jasnou strukturu (kapitoly, podkapitoly, logický tok)</w:t>
      </w:r>
    </w:p>
    <w:p w14:paraId="13318008" w14:textId="1BB461E6" w:rsidR="007433EC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644B15" w:rsidRPr="00644B15">
        <w:rPr>
          <w:rFonts w:ascii="Comenia Sans" w:hAnsi="Comenia Sans"/>
        </w:rPr>
        <w:t>Používá konzistentní terminologii odpovídající výuce</w:t>
      </w:r>
    </w:p>
    <w:p w14:paraId="6D09797C" w14:textId="721C8507" w:rsid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364C59" w:rsidRPr="00364C59">
        <w:rPr>
          <w:rFonts w:ascii="Comenia Sans" w:hAnsi="Comenia Sans"/>
        </w:rPr>
        <w:t>Neobsahuje zbytečné screenshoty ani popisy UI bez architektonického významu</w:t>
      </w:r>
    </w:p>
    <w:p w14:paraId="5BA3FE8F" w14:textId="4B2848EA" w:rsidR="00364C59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364C59" w:rsidRPr="00364C59">
        <w:rPr>
          <w:rFonts w:ascii="Comenia Sans" w:hAnsi="Comenia Sans"/>
        </w:rPr>
        <w:t>Je přiměřeně stručná, ale dostatečně vysvětlující</w:t>
      </w:r>
    </w:p>
    <w:p w14:paraId="1F868E4C" w14:textId="77777777" w:rsidR="007433EC" w:rsidRPr="007433EC" w:rsidRDefault="007433EC" w:rsidP="007433EC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13258F18" w14:textId="6615693A" w:rsidR="007433EC" w:rsidRPr="007433EC" w:rsidRDefault="00125508" w:rsidP="00125508">
      <w:pPr>
        <w:pStyle w:val="Nadpis2"/>
        <w:numPr>
          <w:ilvl w:val="0"/>
          <w:numId w:val="0"/>
        </w:numPr>
      </w:pPr>
      <w:r>
        <w:lastRenderedPageBreak/>
        <w:t xml:space="preserve">4. </w:t>
      </w:r>
      <w:r w:rsidR="007433EC" w:rsidRPr="007433EC">
        <w:t>Technická kázeň (10 bodů)</w:t>
      </w:r>
    </w:p>
    <w:p w14:paraId="01E397E8" w14:textId="287CEAC5" w:rsidR="00BD2012" w:rsidRPr="007433EC" w:rsidRDefault="00125508" w:rsidP="00125508">
      <w:pPr>
        <w:pStyle w:val="Nadpis3"/>
        <w:numPr>
          <w:ilvl w:val="0"/>
          <w:numId w:val="0"/>
        </w:numPr>
      </w:pPr>
      <w:r>
        <w:t xml:space="preserve">4.1 </w:t>
      </w:r>
      <w:r w:rsidR="00C52D35" w:rsidRPr="00C52D35">
        <w:t>Práce s</w:t>
      </w:r>
      <w:r>
        <w:t> </w:t>
      </w:r>
      <w:proofErr w:type="spellStart"/>
      <w:r w:rsidR="00C52D35" w:rsidRPr="00C52D35">
        <w:t>JavaScriptem</w:t>
      </w:r>
      <w:proofErr w:type="spellEnd"/>
      <w:r w:rsidR="00C52D35" w:rsidRPr="00C52D35">
        <w:t xml:space="preserve"> a DOM</w:t>
      </w:r>
      <w:r w:rsidR="00BD2012" w:rsidRPr="007433EC">
        <w:t xml:space="preserve"> (0–5 b)</w:t>
      </w:r>
    </w:p>
    <w:p w14:paraId="134741E7" w14:textId="63821E16" w:rsidR="00BD2012" w:rsidRPr="007433EC" w:rsidRDefault="00710773" w:rsidP="00CF2301">
      <w:pPr>
        <w:keepNext/>
        <w:ind w:left="357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9D3498" w:rsidRPr="009D3498">
        <w:rPr>
          <w:rFonts w:ascii="Comenia Sans" w:hAnsi="Comenia Sans"/>
        </w:rPr>
        <w:t>Kód nepoužívá innerHTML</w:t>
      </w:r>
    </w:p>
    <w:p w14:paraId="2FB7EB40" w14:textId="5AF255A7" w:rsidR="00BD2012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9D3498" w:rsidRPr="009D3498">
        <w:rPr>
          <w:rFonts w:ascii="Comenia Sans" w:hAnsi="Comenia Sans"/>
        </w:rPr>
        <w:t>Manipulace s</w:t>
      </w:r>
      <w:r w:rsidR="00125508">
        <w:rPr>
          <w:rFonts w:ascii="Comenia Sans" w:hAnsi="Comenia Sans"/>
        </w:rPr>
        <w:t> </w:t>
      </w:r>
      <w:r w:rsidR="009D3498" w:rsidRPr="009D3498">
        <w:rPr>
          <w:rFonts w:ascii="Comenia Sans" w:hAnsi="Comenia Sans"/>
        </w:rPr>
        <w:t>DOM je prováděna explicitně přes DOM API</w:t>
      </w:r>
    </w:p>
    <w:p w14:paraId="3DC8C6CC" w14:textId="54BDB7AA" w:rsidR="00BD2012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9D3498" w:rsidRPr="009D3498">
        <w:rPr>
          <w:rFonts w:ascii="Comenia Sans" w:hAnsi="Comenia Sans"/>
        </w:rPr>
        <w:t>Kód nemíchá aplikační logiku s</w:t>
      </w:r>
      <w:r w:rsidR="00125508">
        <w:rPr>
          <w:rFonts w:ascii="Comenia Sans" w:hAnsi="Comenia Sans"/>
        </w:rPr>
        <w:t> </w:t>
      </w:r>
      <w:r w:rsidR="009D3498" w:rsidRPr="009D3498">
        <w:rPr>
          <w:rFonts w:ascii="Comenia Sans" w:hAnsi="Comenia Sans"/>
        </w:rPr>
        <w:t>vykreslováním</w:t>
      </w:r>
    </w:p>
    <w:p w14:paraId="0947CFDF" w14:textId="0A032042" w:rsidR="009D3498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F14475" w:rsidRPr="00F14475">
        <w:rPr>
          <w:rFonts w:ascii="Comenia Sans" w:hAnsi="Comenia Sans"/>
        </w:rPr>
        <w:t>Funkce mají jasnou odpovědnost a nepřebírají více rolí</w:t>
      </w:r>
    </w:p>
    <w:p w14:paraId="33BECF2B" w14:textId="34F93235" w:rsidR="00F14475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F14475" w:rsidRPr="00F14475">
        <w:rPr>
          <w:rFonts w:ascii="Comenia Sans" w:hAnsi="Comenia Sans"/>
        </w:rPr>
        <w:t>Neexistují skryté závislosti na globálním stavu nebo DOM</w:t>
      </w:r>
    </w:p>
    <w:p w14:paraId="5A7F6410" w14:textId="77777777" w:rsidR="00BD2012" w:rsidRPr="007433EC" w:rsidRDefault="00BD2012" w:rsidP="00BD2012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642E9F7D" w14:textId="1E3036DD" w:rsidR="00BD2012" w:rsidRPr="007433EC" w:rsidRDefault="00125508" w:rsidP="00125508">
      <w:pPr>
        <w:pStyle w:val="Nadpis3"/>
        <w:numPr>
          <w:ilvl w:val="0"/>
          <w:numId w:val="0"/>
        </w:numPr>
      </w:pPr>
      <w:r>
        <w:t xml:space="preserve">4.2 </w:t>
      </w:r>
      <w:r w:rsidR="00153201" w:rsidRPr="00153201">
        <w:t>Práce s HTML a CSS</w:t>
      </w:r>
      <w:r w:rsidR="00BD2012" w:rsidRPr="007433EC">
        <w:t xml:space="preserve"> (0–5 b)</w:t>
      </w:r>
    </w:p>
    <w:p w14:paraId="6BA96AE7" w14:textId="5707F7DD" w:rsidR="00BD2012" w:rsidRPr="007433EC" w:rsidRDefault="00710773" w:rsidP="00DC091D">
      <w:pPr>
        <w:keepNext/>
        <w:ind w:left="357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F14475" w:rsidRPr="00F14475">
        <w:rPr>
          <w:rFonts w:ascii="Comenia Sans" w:hAnsi="Comenia Sans"/>
        </w:rPr>
        <w:t>HTML neobsahuje inline style atributy</w:t>
      </w:r>
    </w:p>
    <w:p w14:paraId="5D7720B8" w14:textId="67BCC69A" w:rsidR="00BD2012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C85335" w:rsidRPr="00C85335">
        <w:rPr>
          <w:rFonts w:ascii="Comenia Sans" w:hAnsi="Comenia Sans"/>
        </w:rPr>
        <w:t>Stylování je oddělené od logiky aplikace</w:t>
      </w:r>
    </w:p>
    <w:p w14:paraId="3E2F15F9" w14:textId="501C02AC" w:rsidR="00BD2012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C85335" w:rsidRPr="00C85335">
        <w:rPr>
          <w:rFonts w:ascii="Comenia Sans" w:hAnsi="Comenia Sans"/>
        </w:rPr>
        <w:t>Je použita buď vlastní jednoduchá CSS struktura, nebo externí knihovna</w:t>
      </w:r>
    </w:p>
    <w:p w14:paraId="3F98B03E" w14:textId="5D9F5C92" w:rsidR="00C85335" w:rsidRPr="007433EC" w:rsidRDefault="00710773" w:rsidP="00DC091D">
      <w:pPr>
        <w:ind w:left="360"/>
        <w:rPr>
          <w:rFonts w:ascii="Comenia Sans" w:hAnsi="Comenia Sans"/>
        </w:rPr>
      </w:pPr>
      <w:r>
        <w:rPr>
          <w:rFonts w:ascii="Comenia Sans" w:hAnsi="Comenia Sans"/>
        </w:rPr>
        <w:t xml:space="preserve">[ ] </w:t>
      </w:r>
      <w:r w:rsidR="00EA715E" w:rsidRPr="00EA715E">
        <w:rPr>
          <w:rFonts w:ascii="Comenia Sans" w:hAnsi="Comenia Sans"/>
        </w:rPr>
        <w:t>CSS nezasahuje do architektury aplikace (neslouží k řízení chování)</w:t>
      </w:r>
    </w:p>
    <w:p w14:paraId="2F6AD736" w14:textId="77777777" w:rsidR="00BD2012" w:rsidRPr="007433EC" w:rsidRDefault="00BD2012" w:rsidP="00BD2012">
      <w:pPr>
        <w:rPr>
          <w:rFonts w:ascii="Comenia Sans" w:hAnsi="Comenia Sans"/>
          <w:sz w:val="24"/>
          <w:szCs w:val="24"/>
        </w:rPr>
      </w:pPr>
      <w:r w:rsidRPr="007433EC">
        <w:rPr>
          <w:rFonts w:ascii="Comenia Sans" w:hAnsi="Comenia Sans"/>
          <w:sz w:val="24"/>
          <w:szCs w:val="24"/>
        </w:rPr>
        <w:t xml:space="preserve">Body: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5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3 </w:t>
      </w:r>
      <w:r w:rsidRPr="007433EC">
        <w:rPr>
          <w:rFonts w:ascii="Segoe UI Symbol" w:hAnsi="Segoe UI Symbol" w:cs="Segoe UI Symbol"/>
          <w:sz w:val="24"/>
          <w:szCs w:val="24"/>
        </w:rPr>
        <w:t>☐</w:t>
      </w:r>
      <w:r w:rsidRPr="007433EC">
        <w:rPr>
          <w:rFonts w:ascii="Comenia Sans" w:hAnsi="Comenia Sans"/>
          <w:sz w:val="24"/>
          <w:szCs w:val="24"/>
        </w:rPr>
        <w:t xml:space="preserve"> 0</w:t>
      </w:r>
    </w:p>
    <w:p w14:paraId="7E5FDD64" w14:textId="042E05C8" w:rsidR="007433EC" w:rsidRPr="007433EC" w:rsidRDefault="007433EC" w:rsidP="00125508">
      <w:pPr>
        <w:pStyle w:val="Nadpis2"/>
        <w:numPr>
          <w:ilvl w:val="0"/>
          <w:numId w:val="0"/>
        </w:numPr>
      </w:pPr>
      <w:r w:rsidRPr="007433EC">
        <w:t>Co se NEHODNOTÍ (kontrolní připomínka)</w:t>
      </w:r>
    </w:p>
    <w:p w14:paraId="3EBD51E5" w14:textId="77777777" w:rsidR="007433EC" w:rsidRPr="007433EC" w:rsidRDefault="007433EC" w:rsidP="007433EC">
      <w:pPr>
        <w:numPr>
          <w:ilvl w:val="0"/>
          <w:numId w:val="14"/>
        </w:numPr>
        <w:rPr>
          <w:rFonts w:ascii="Comenia Sans" w:hAnsi="Comenia Sans"/>
        </w:rPr>
      </w:pPr>
      <w:r w:rsidRPr="007433EC">
        <w:rPr>
          <w:rFonts w:ascii="Comenia Sans" w:hAnsi="Comenia Sans"/>
        </w:rPr>
        <w:t>Vzhled UI</w:t>
      </w:r>
    </w:p>
    <w:p w14:paraId="7FFB8EBC" w14:textId="77777777" w:rsidR="007433EC" w:rsidRPr="007433EC" w:rsidRDefault="007433EC" w:rsidP="007433EC">
      <w:pPr>
        <w:numPr>
          <w:ilvl w:val="0"/>
          <w:numId w:val="14"/>
        </w:numPr>
        <w:rPr>
          <w:rFonts w:ascii="Comenia Sans" w:hAnsi="Comenia Sans"/>
        </w:rPr>
      </w:pPr>
      <w:r w:rsidRPr="007433EC">
        <w:rPr>
          <w:rFonts w:ascii="Comenia Sans" w:hAnsi="Comenia Sans"/>
        </w:rPr>
        <w:t>UX / použitelnost</w:t>
      </w:r>
    </w:p>
    <w:p w14:paraId="709FCC9D" w14:textId="77777777" w:rsidR="007433EC" w:rsidRPr="007433EC" w:rsidRDefault="007433EC" w:rsidP="007433EC">
      <w:pPr>
        <w:numPr>
          <w:ilvl w:val="0"/>
          <w:numId w:val="14"/>
        </w:numPr>
        <w:rPr>
          <w:rFonts w:ascii="Comenia Sans" w:hAnsi="Comenia Sans"/>
        </w:rPr>
      </w:pPr>
      <w:r w:rsidRPr="007433EC">
        <w:rPr>
          <w:rFonts w:ascii="Comenia Sans" w:hAnsi="Comenia Sans"/>
        </w:rPr>
        <w:t>Responzivita</w:t>
      </w:r>
    </w:p>
    <w:p w14:paraId="3D7988DD" w14:textId="77777777" w:rsidR="007433EC" w:rsidRPr="007433EC" w:rsidRDefault="007433EC" w:rsidP="007433EC">
      <w:pPr>
        <w:numPr>
          <w:ilvl w:val="0"/>
          <w:numId w:val="14"/>
        </w:numPr>
        <w:rPr>
          <w:rFonts w:ascii="Comenia Sans" w:hAnsi="Comenia Sans"/>
        </w:rPr>
      </w:pPr>
      <w:r w:rsidRPr="007433EC">
        <w:rPr>
          <w:rFonts w:ascii="Comenia Sans" w:hAnsi="Comenia Sans"/>
        </w:rPr>
        <w:t>Přístupnost</w:t>
      </w:r>
    </w:p>
    <w:p w14:paraId="7E7D3624" w14:textId="77777777" w:rsidR="007433EC" w:rsidRPr="007433EC" w:rsidRDefault="007433EC" w:rsidP="00125508">
      <w:pPr>
        <w:pStyle w:val="Nadpis2"/>
        <w:numPr>
          <w:ilvl w:val="0"/>
          <w:numId w:val="0"/>
        </w:numPr>
      </w:pPr>
      <w:r w:rsidRPr="007433EC">
        <w:t>Shrnutí bodů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276"/>
      </w:tblGrid>
      <w:tr w:rsidR="007433EC" w:rsidRPr="007433EC" w14:paraId="321E6018" w14:textId="77777777" w:rsidTr="00D534B1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24930E5F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Oblast</w:t>
            </w:r>
          </w:p>
        </w:tc>
        <w:tc>
          <w:tcPr>
            <w:tcW w:w="1231" w:type="dxa"/>
            <w:vAlign w:val="center"/>
            <w:hideMark/>
          </w:tcPr>
          <w:p w14:paraId="389B1FC3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Body</w:t>
            </w:r>
          </w:p>
        </w:tc>
      </w:tr>
      <w:tr w:rsidR="007433EC" w:rsidRPr="007433EC" w14:paraId="148E6430" w14:textId="77777777" w:rsidTr="00D534B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25953E8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Architektura</w:t>
            </w:r>
          </w:p>
        </w:tc>
        <w:tc>
          <w:tcPr>
            <w:tcW w:w="1231" w:type="dxa"/>
            <w:vAlign w:val="center"/>
            <w:hideMark/>
          </w:tcPr>
          <w:p w14:paraId="47F4C74B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___ / 60</w:t>
            </w:r>
          </w:p>
        </w:tc>
      </w:tr>
      <w:tr w:rsidR="007433EC" w:rsidRPr="007433EC" w14:paraId="36111BB5" w14:textId="77777777" w:rsidTr="00D534B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5A6340B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Individuální část</w:t>
            </w:r>
          </w:p>
        </w:tc>
        <w:tc>
          <w:tcPr>
            <w:tcW w:w="1231" w:type="dxa"/>
            <w:vAlign w:val="center"/>
            <w:hideMark/>
          </w:tcPr>
          <w:p w14:paraId="44276316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___ / 15</w:t>
            </w:r>
          </w:p>
        </w:tc>
      </w:tr>
      <w:tr w:rsidR="007433EC" w:rsidRPr="007433EC" w14:paraId="511F80B8" w14:textId="77777777" w:rsidTr="00D534B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960CAFE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Dokumentace</w:t>
            </w:r>
          </w:p>
        </w:tc>
        <w:tc>
          <w:tcPr>
            <w:tcW w:w="1231" w:type="dxa"/>
            <w:vAlign w:val="center"/>
            <w:hideMark/>
          </w:tcPr>
          <w:p w14:paraId="21583CC1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___ / 15</w:t>
            </w:r>
          </w:p>
        </w:tc>
      </w:tr>
      <w:tr w:rsidR="007433EC" w:rsidRPr="007433EC" w14:paraId="5B5DA6BA" w14:textId="77777777" w:rsidTr="00D534B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099ED0F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Technická kázeň</w:t>
            </w:r>
          </w:p>
        </w:tc>
        <w:tc>
          <w:tcPr>
            <w:tcW w:w="1231" w:type="dxa"/>
            <w:vAlign w:val="center"/>
            <w:hideMark/>
          </w:tcPr>
          <w:p w14:paraId="6C282699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___ / 10</w:t>
            </w:r>
          </w:p>
        </w:tc>
      </w:tr>
      <w:tr w:rsidR="007433EC" w:rsidRPr="007433EC" w14:paraId="4A2AB954" w14:textId="77777777" w:rsidTr="00D534B1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2D2242F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Celkem</w:t>
            </w:r>
          </w:p>
        </w:tc>
        <w:tc>
          <w:tcPr>
            <w:tcW w:w="1231" w:type="dxa"/>
            <w:vAlign w:val="center"/>
            <w:hideMark/>
          </w:tcPr>
          <w:p w14:paraId="42C2E728" w14:textId="77777777" w:rsidR="007433EC" w:rsidRPr="007433EC" w:rsidRDefault="007433EC" w:rsidP="007433EC">
            <w:pPr>
              <w:rPr>
                <w:rFonts w:ascii="Comenia Sans" w:hAnsi="Comenia Sans"/>
              </w:rPr>
            </w:pPr>
            <w:r w:rsidRPr="007433EC">
              <w:rPr>
                <w:rFonts w:ascii="Comenia Sans" w:hAnsi="Comenia Sans"/>
              </w:rPr>
              <w:t>___ / 100</w:t>
            </w:r>
          </w:p>
        </w:tc>
      </w:tr>
    </w:tbl>
    <w:p w14:paraId="6414B683" w14:textId="432CDE9A" w:rsidR="007433EC" w:rsidRDefault="007433EC" w:rsidP="007433EC">
      <w:pPr>
        <w:rPr>
          <w:rFonts w:ascii="Comenia Sans" w:hAnsi="Comenia Sans"/>
        </w:rPr>
      </w:pPr>
    </w:p>
    <w:p w14:paraId="081D344A" w14:textId="77777777" w:rsidR="006F50FE" w:rsidRPr="007433EC" w:rsidRDefault="006F50FE" w:rsidP="007433EC">
      <w:pPr>
        <w:rPr>
          <w:rFonts w:ascii="Comenia Sans" w:hAnsi="Comenia Sans"/>
        </w:rPr>
      </w:pPr>
    </w:p>
    <w:sectPr w:rsidR="006F50FE" w:rsidRPr="007433EC" w:rsidSect="00084D27">
      <w:pgSz w:w="11906" w:h="16838"/>
      <w:pgMar w:top="1304" w:right="1418" w:bottom="130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enia Sans">
    <w:panose1 w:val="02000503080000020004"/>
    <w:charset w:val="00"/>
    <w:family w:val="modern"/>
    <w:notTrueType/>
    <w:pitch w:val="variable"/>
    <w:sig w:usb0="A00000AF" w:usb1="5000207A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0FD"/>
    <w:multiLevelType w:val="multilevel"/>
    <w:tmpl w:val="BA6E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798B"/>
    <w:multiLevelType w:val="multilevel"/>
    <w:tmpl w:val="3EF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A454E"/>
    <w:multiLevelType w:val="multilevel"/>
    <w:tmpl w:val="0EA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16B76"/>
    <w:multiLevelType w:val="multilevel"/>
    <w:tmpl w:val="DDB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52741"/>
    <w:multiLevelType w:val="multilevel"/>
    <w:tmpl w:val="53D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971D9"/>
    <w:multiLevelType w:val="multilevel"/>
    <w:tmpl w:val="B41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80FE5"/>
    <w:multiLevelType w:val="multilevel"/>
    <w:tmpl w:val="F7B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D5447"/>
    <w:multiLevelType w:val="multilevel"/>
    <w:tmpl w:val="E4E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A2961"/>
    <w:multiLevelType w:val="multilevel"/>
    <w:tmpl w:val="B86476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628D7A40"/>
    <w:multiLevelType w:val="hybridMultilevel"/>
    <w:tmpl w:val="90E62DF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CA1B58"/>
    <w:multiLevelType w:val="multilevel"/>
    <w:tmpl w:val="4D50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92561"/>
    <w:multiLevelType w:val="multilevel"/>
    <w:tmpl w:val="7898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401DF"/>
    <w:multiLevelType w:val="multilevel"/>
    <w:tmpl w:val="E4FE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83949"/>
    <w:multiLevelType w:val="multilevel"/>
    <w:tmpl w:val="9FE8013A"/>
    <w:lvl w:ilvl="0">
      <w:start w:val="1"/>
      <w:numFmt w:val="decimal"/>
      <w:pStyle w:val="Nadpis2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5C71F1C"/>
    <w:multiLevelType w:val="multilevel"/>
    <w:tmpl w:val="6DF0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81A37"/>
    <w:multiLevelType w:val="multilevel"/>
    <w:tmpl w:val="E88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64E9F"/>
    <w:multiLevelType w:val="multilevel"/>
    <w:tmpl w:val="F37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90560"/>
    <w:multiLevelType w:val="multilevel"/>
    <w:tmpl w:val="CD1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4829">
    <w:abstractNumId w:val="2"/>
  </w:num>
  <w:num w:numId="2" w16cid:durableId="517621647">
    <w:abstractNumId w:val="4"/>
  </w:num>
  <w:num w:numId="3" w16cid:durableId="1963685700">
    <w:abstractNumId w:val="1"/>
  </w:num>
  <w:num w:numId="4" w16cid:durableId="368183280">
    <w:abstractNumId w:val="7"/>
  </w:num>
  <w:num w:numId="5" w16cid:durableId="552934644">
    <w:abstractNumId w:val="3"/>
  </w:num>
  <w:num w:numId="6" w16cid:durableId="246118697">
    <w:abstractNumId w:val="10"/>
  </w:num>
  <w:num w:numId="7" w16cid:durableId="487357259">
    <w:abstractNumId w:val="11"/>
  </w:num>
  <w:num w:numId="8" w16cid:durableId="1493528129">
    <w:abstractNumId w:val="6"/>
  </w:num>
  <w:num w:numId="9" w16cid:durableId="666522798">
    <w:abstractNumId w:val="0"/>
  </w:num>
  <w:num w:numId="10" w16cid:durableId="1374647476">
    <w:abstractNumId w:val="12"/>
  </w:num>
  <w:num w:numId="11" w16cid:durableId="1071462132">
    <w:abstractNumId w:val="17"/>
  </w:num>
  <w:num w:numId="12" w16cid:durableId="1999384685">
    <w:abstractNumId w:val="16"/>
  </w:num>
  <w:num w:numId="13" w16cid:durableId="508446413">
    <w:abstractNumId w:val="14"/>
  </w:num>
  <w:num w:numId="14" w16cid:durableId="50153907">
    <w:abstractNumId w:val="15"/>
  </w:num>
  <w:num w:numId="15" w16cid:durableId="1097024003">
    <w:abstractNumId w:val="5"/>
  </w:num>
  <w:num w:numId="16" w16cid:durableId="246577135">
    <w:abstractNumId w:val="9"/>
  </w:num>
  <w:num w:numId="17" w16cid:durableId="986399999">
    <w:abstractNumId w:val="13"/>
  </w:num>
  <w:num w:numId="18" w16cid:durableId="761922024">
    <w:abstractNumId w:val="8"/>
  </w:num>
  <w:num w:numId="19" w16cid:durableId="18125984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22951388">
    <w:abstractNumId w:val="8"/>
  </w:num>
  <w:num w:numId="21" w16cid:durableId="1822690335">
    <w:abstractNumId w:val="8"/>
  </w:num>
  <w:num w:numId="22" w16cid:durableId="596210187">
    <w:abstractNumId w:val="8"/>
  </w:num>
  <w:num w:numId="23" w16cid:durableId="66150313">
    <w:abstractNumId w:val="8"/>
  </w:num>
  <w:num w:numId="24" w16cid:durableId="136386906">
    <w:abstractNumId w:val="8"/>
  </w:num>
  <w:num w:numId="25" w16cid:durableId="1045640690">
    <w:abstractNumId w:val="8"/>
  </w:num>
  <w:num w:numId="26" w16cid:durableId="1550727177">
    <w:abstractNumId w:val="8"/>
  </w:num>
  <w:num w:numId="27" w16cid:durableId="723024204">
    <w:abstractNumId w:val="8"/>
  </w:num>
  <w:num w:numId="28" w16cid:durableId="1208489977">
    <w:abstractNumId w:val="8"/>
  </w:num>
  <w:num w:numId="29" w16cid:durableId="291524262">
    <w:abstractNumId w:val="8"/>
  </w:num>
  <w:num w:numId="30" w16cid:durableId="420950478">
    <w:abstractNumId w:val="8"/>
  </w:num>
  <w:num w:numId="31" w16cid:durableId="710375612">
    <w:abstractNumId w:val="8"/>
  </w:num>
  <w:num w:numId="32" w16cid:durableId="1684090657">
    <w:abstractNumId w:val="8"/>
  </w:num>
  <w:num w:numId="33" w16cid:durableId="1518041074">
    <w:abstractNumId w:val="8"/>
  </w:num>
  <w:num w:numId="34" w16cid:durableId="9622252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56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EC"/>
    <w:rsid w:val="000164C1"/>
    <w:rsid w:val="00042F22"/>
    <w:rsid w:val="00084D27"/>
    <w:rsid w:val="00102E06"/>
    <w:rsid w:val="00125508"/>
    <w:rsid w:val="00153201"/>
    <w:rsid w:val="001B0593"/>
    <w:rsid w:val="00252221"/>
    <w:rsid w:val="0026428B"/>
    <w:rsid w:val="00285663"/>
    <w:rsid w:val="002C6467"/>
    <w:rsid w:val="00364C59"/>
    <w:rsid w:val="003C23CB"/>
    <w:rsid w:val="003C771C"/>
    <w:rsid w:val="003F0F29"/>
    <w:rsid w:val="00410B70"/>
    <w:rsid w:val="00420F0C"/>
    <w:rsid w:val="004355C4"/>
    <w:rsid w:val="004B513F"/>
    <w:rsid w:val="004D03EA"/>
    <w:rsid w:val="004E6689"/>
    <w:rsid w:val="00505639"/>
    <w:rsid w:val="00550A65"/>
    <w:rsid w:val="00560770"/>
    <w:rsid w:val="005C676C"/>
    <w:rsid w:val="00644B15"/>
    <w:rsid w:val="006F50FE"/>
    <w:rsid w:val="00710773"/>
    <w:rsid w:val="007433EC"/>
    <w:rsid w:val="007560C9"/>
    <w:rsid w:val="007806EB"/>
    <w:rsid w:val="007D03A3"/>
    <w:rsid w:val="00824FF3"/>
    <w:rsid w:val="00833741"/>
    <w:rsid w:val="00863D38"/>
    <w:rsid w:val="008C5CD7"/>
    <w:rsid w:val="00990DFF"/>
    <w:rsid w:val="009A2493"/>
    <w:rsid w:val="009D3498"/>
    <w:rsid w:val="00A0483E"/>
    <w:rsid w:val="00A10405"/>
    <w:rsid w:val="00A241F0"/>
    <w:rsid w:val="00AA60B2"/>
    <w:rsid w:val="00AD4082"/>
    <w:rsid w:val="00B95AE1"/>
    <w:rsid w:val="00BB708E"/>
    <w:rsid w:val="00BC5969"/>
    <w:rsid w:val="00BD2012"/>
    <w:rsid w:val="00C117BB"/>
    <w:rsid w:val="00C52D35"/>
    <w:rsid w:val="00C80073"/>
    <w:rsid w:val="00C85335"/>
    <w:rsid w:val="00CF2301"/>
    <w:rsid w:val="00D26E17"/>
    <w:rsid w:val="00D534B1"/>
    <w:rsid w:val="00D8688B"/>
    <w:rsid w:val="00DC091D"/>
    <w:rsid w:val="00DD34C7"/>
    <w:rsid w:val="00E30A7E"/>
    <w:rsid w:val="00E849B8"/>
    <w:rsid w:val="00EA715E"/>
    <w:rsid w:val="00EF0AFC"/>
    <w:rsid w:val="00F14475"/>
    <w:rsid w:val="00F275A6"/>
    <w:rsid w:val="00F4009F"/>
    <w:rsid w:val="00F6230D"/>
    <w:rsid w:val="00FB3072"/>
    <w:rsid w:val="00FF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DB444"/>
  <w15:chartTrackingRefBased/>
  <w15:docId w15:val="{65779971-56DE-4151-9E6D-318D3F1C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43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534B1"/>
    <w:pPr>
      <w:keepNext/>
      <w:keepLines/>
      <w:numPr>
        <w:numId w:val="17"/>
      </w:numPr>
      <w:spacing w:before="360" w:after="80"/>
      <w:outlineLvl w:val="1"/>
    </w:pPr>
    <w:rPr>
      <w:rFonts w:ascii="Comenia Sans" w:eastAsiaTheme="majorEastAsia" w:hAnsi="Comenia Sans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05639"/>
    <w:pPr>
      <w:keepNext/>
      <w:keepLines/>
      <w:numPr>
        <w:ilvl w:val="1"/>
        <w:numId w:val="18"/>
      </w:numPr>
      <w:spacing w:before="3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43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43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43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43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43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43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43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D534B1"/>
    <w:rPr>
      <w:rFonts w:ascii="Comenia Sans" w:eastAsiaTheme="majorEastAsia" w:hAnsi="Comenia Sans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505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433E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433E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433E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433E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433E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433E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43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43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43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43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4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433E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433E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433E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43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433E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43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7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73B47-49DF-40AB-B151-E2992B069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735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Ponce Daniela</dc:creator>
  <cp:keywords/>
  <dc:description/>
  <cp:lastModifiedBy>Ponce Daniela</cp:lastModifiedBy>
  <cp:revision>59</cp:revision>
  <dcterms:created xsi:type="dcterms:W3CDTF">2026-02-04T10:19:00Z</dcterms:created>
  <dcterms:modified xsi:type="dcterms:W3CDTF">2026-02-04T16:40:00Z</dcterms:modified>
</cp:coreProperties>
</file>