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8A4" w:rsidRPr="006D7DCD" w:rsidRDefault="00144B53" w:rsidP="006D7DCD">
      <w:pPr>
        <w:spacing w:afterLines="100" w:after="240"/>
        <w:jc w:val="center"/>
        <w:rPr>
          <w:rFonts w:ascii="微软雅黑" w:eastAsia="微软雅黑" w:hAnsi="微软雅黑"/>
          <w:b/>
          <w:color w:val="0070C0"/>
          <w:sz w:val="28"/>
          <w:szCs w:val="28"/>
        </w:rPr>
      </w:pPr>
      <w:r w:rsidRPr="006D7DCD">
        <w:rPr>
          <w:rFonts w:ascii="微软雅黑" w:eastAsia="微软雅黑" w:hAnsi="微软雅黑"/>
          <w:b/>
          <w:color w:val="0070C0"/>
          <w:sz w:val="28"/>
          <w:szCs w:val="28"/>
        </w:rPr>
        <w:t>2001</w:t>
      </w:r>
      <w:r w:rsidRPr="006D7DCD">
        <w:rPr>
          <w:rFonts w:ascii="微软雅黑" w:eastAsia="微软雅黑" w:hAnsi="微软雅黑" w:hint="eastAsia"/>
          <w:b/>
          <w:color w:val="0070C0"/>
          <w:sz w:val="28"/>
          <w:szCs w:val="28"/>
        </w:rPr>
        <w:t>年</w:t>
      </w:r>
      <w:r w:rsidRPr="006D7DCD">
        <w:rPr>
          <w:rFonts w:ascii="微软雅黑" w:eastAsia="微软雅黑" w:hAnsi="微软雅黑"/>
          <w:b/>
          <w:color w:val="0070C0"/>
          <w:sz w:val="28"/>
          <w:szCs w:val="28"/>
        </w:rPr>
        <w:t>11</w:t>
      </w:r>
      <w:r w:rsidRPr="006D7DCD">
        <w:rPr>
          <w:rFonts w:ascii="微软雅黑" w:eastAsia="微软雅黑" w:hAnsi="微软雅黑" w:hint="eastAsia"/>
          <w:b/>
          <w:color w:val="0070C0"/>
          <w:sz w:val="28"/>
          <w:szCs w:val="28"/>
        </w:rPr>
        <w:t>月</w:t>
      </w:r>
      <w:r w:rsidRPr="006D7DCD">
        <w:rPr>
          <w:rFonts w:ascii="微软雅黑" w:eastAsia="微软雅黑" w:hAnsi="微软雅黑"/>
          <w:b/>
          <w:color w:val="0070C0"/>
          <w:sz w:val="28"/>
          <w:szCs w:val="28"/>
        </w:rPr>
        <w:t>1</w:t>
      </w:r>
      <w:r w:rsidRPr="006D7DCD">
        <w:rPr>
          <w:rFonts w:ascii="微软雅黑" w:eastAsia="微软雅黑" w:hAnsi="微软雅黑" w:hint="eastAsia"/>
          <w:b/>
          <w:color w:val="0070C0"/>
          <w:sz w:val="28"/>
          <w:szCs w:val="28"/>
        </w:rPr>
        <w:t>日全球主要市场指数一览</w:t>
      </w:r>
    </w:p>
    <w:tbl>
      <w:tblPr>
        <w:tblStyle w:val="a7"/>
        <w:tblW w:w="6294" w:type="dxa"/>
        <w:jc w:val="center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single" w:sz="4" w:space="0" w:color="FF0000"/>
          <w:insideV w:val="single" w:sz="4" w:space="0" w:color="FF0000"/>
        </w:tblBorders>
        <w:shd w:val="pct15" w:color="FFFF00" w:fill="auto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701"/>
        <w:gridCol w:w="1531"/>
        <w:gridCol w:w="1531"/>
        <w:gridCol w:w="1531"/>
      </w:tblGrid>
      <w:tr w:rsidR="00C0001C" w:rsidRPr="00C0001C" w:rsidTr="00FD0A67">
        <w:trPr>
          <w:trHeight w:val="397"/>
          <w:jc w:val="center"/>
        </w:trPr>
        <w:tc>
          <w:tcPr>
            <w:tcW w:w="1701" w:type="dxa"/>
            <w:tcBorders>
              <w:top w:val="double" w:sz="4" w:space="0" w:color="FF0000"/>
              <w:bottom w:val="double" w:sz="4" w:space="0" w:color="FF0000"/>
            </w:tcBorders>
            <w:shd w:val="clear" w:color="FFFF00" w:fill="E5B8B7" w:themeFill="accent2" w:themeFillTint="66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指数名称</w:t>
            </w:r>
          </w:p>
        </w:tc>
        <w:tc>
          <w:tcPr>
            <w:tcW w:w="1531" w:type="dxa"/>
            <w:tcBorders>
              <w:top w:val="double" w:sz="4" w:space="0" w:color="FF0000"/>
              <w:bottom w:val="double" w:sz="4" w:space="0" w:color="FF0000"/>
            </w:tcBorders>
            <w:shd w:val="clear" w:color="FFFF00" w:fill="E5B8B7" w:themeFill="accent2" w:themeFillTint="66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最新指数</w:t>
            </w:r>
          </w:p>
        </w:tc>
        <w:tc>
          <w:tcPr>
            <w:tcW w:w="1531" w:type="dxa"/>
            <w:tcBorders>
              <w:top w:val="double" w:sz="4" w:space="0" w:color="FF0000"/>
              <w:bottom w:val="double" w:sz="4" w:space="0" w:color="FF0000"/>
            </w:tcBorders>
            <w:shd w:val="clear" w:color="FFFF00" w:fill="E5B8B7" w:themeFill="accent2" w:themeFillTint="66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涨跌值</w:t>
            </w:r>
          </w:p>
        </w:tc>
        <w:tc>
          <w:tcPr>
            <w:tcW w:w="1531" w:type="dxa"/>
            <w:tcBorders>
              <w:top w:val="double" w:sz="4" w:space="0" w:color="FF0000"/>
              <w:bottom w:val="double" w:sz="4" w:space="0" w:color="FF0000"/>
            </w:tcBorders>
            <w:shd w:val="clear" w:color="FFFF00" w:fill="E5B8B7" w:themeFill="accent2" w:themeFillTint="66"/>
            <w:vAlign w:val="center"/>
          </w:tcPr>
          <w:p w:rsidR="00C0001C" w:rsidRPr="00C0001C" w:rsidRDefault="00C0001C" w:rsidP="00C0001C">
            <w:pPr>
              <w:jc w:val="center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涨跌幅（%）</w:t>
            </w:r>
          </w:p>
        </w:tc>
      </w:tr>
      <w:tr w:rsidR="00C0001C" w:rsidRPr="00C0001C" w:rsidTr="00FD0A67">
        <w:trPr>
          <w:trHeight w:val="397"/>
          <w:jc w:val="center"/>
        </w:trPr>
        <w:tc>
          <w:tcPr>
            <w:tcW w:w="1701" w:type="dxa"/>
            <w:tcBorders>
              <w:top w:val="doub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纳斯达克指数</w:t>
            </w:r>
          </w:p>
        </w:tc>
        <w:tc>
          <w:tcPr>
            <w:tcW w:w="1531" w:type="dxa"/>
            <w:tcBorders>
              <w:top w:val="doub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1690</w:t>
            </w:r>
          </w:p>
        </w:tc>
        <w:tc>
          <w:tcPr>
            <w:tcW w:w="1531" w:type="dxa"/>
            <w:tcBorders>
              <w:top w:val="doub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22.79</w:t>
            </w:r>
          </w:p>
        </w:tc>
        <w:tc>
          <w:tcPr>
            <w:tcW w:w="1531" w:type="dxa"/>
            <w:tcBorders>
              <w:top w:val="doub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fldChar w:fldCharType="begin"/>
            </w:r>
            <w:r>
              <w:rPr>
                <w:rFonts w:ascii="宋体" w:hAnsi="宋体"/>
                <w:sz w:val="21"/>
              </w:rPr>
              <w:instrText xml:space="preserve"> =100*C4/(B4-C4) </w:instrText>
            </w:r>
            <w:r>
              <w:rPr>
                <w:rFonts w:ascii="宋体" w:hAnsi="宋体"/>
                <w:sz w:val="21"/>
              </w:rPr>
              <w:fldChar w:fldCharType="separate"/>
            </w:r>
            <w:r>
              <w:rPr>
                <w:rFonts w:ascii="宋体" w:hAnsi="宋体"/>
                <w:noProof/>
                <w:sz w:val="21"/>
              </w:rPr>
              <w:t>1.367</w:t>
            </w:r>
            <w:r>
              <w:rPr>
                <w:rFonts w:ascii="宋体" w:hAnsi="宋体"/>
                <w:sz w:val="21"/>
              </w:rPr>
              <w:fldChar w:fldCharType="end"/>
            </w:r>
          </w:p>
        </w:tc>
      </w:tr>
      <w:tr w:rsidR="00C0001C" w:rsidRPr="00C0001C" w:rsidTr="00FD0A67">
        <w:trPr>
          <w:trHeight w:val="397"/>
          <w:jc w:val="center"/>
        </w:trPr>
        <w:tc>
          <w:tcPr>
            <w:tcW w:w="170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恒升指数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10158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84.88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fldChar w:fldCharType="begin"/>
            </w:r>
            <w:r>
              <w:rPr>
                <w:rFonts w:ascii="宋体" w:hAnsi="宋体"/>
                <w:sz w:val="21"/>
              </w:rPr>
              <w:instrText xml:space="preserve"> =100*C2/(B2-C2) </w:instrText>
            </w:r>
            <w:r>
              <w:rPr>
                <w:rFonts w:ascii="宋体" w:hAnsi="宋体"/>
                <w:sz w:val="21"/>
              </w:rPr>
              <w:fldChar w:fldCharType="separate"/>
            </w:r>
            <w:r>
              <w:rPr>
                <w:rFonts w:ascii="宋体" w:hAnsi="宋体"/>
                <w:noProof/>
                <w:sz w:val="21"/>
              </w:rPr>
              <w:t>0.8426</w:t>
            </w:r>
            <w:r>
              <w:rPr>
                <w:rFonts w:ascii="宋体" w:hAnsi="宋体"/>
                <w:sz w:val="21"/>
              </w:rPr>
              <w:fldChar w:fldCharType="end"/>
            </w:r>
          </w:p>
        </w:tc>
      </w:tr>
      <w:tr w:rsidR="00C0001C" w:rsidRPr="00C0001C" w:rsidTr="00FD0A67">
        <w:trPr>
          <w:trHeight w:val="397"/>
          <w:jc w:val="center"/>
        </w:trPr>
        <w:tc>
          <w:tcPr>
            <w:tcW w:w="170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日经指数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10347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-19.06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fldChar w:fldCharType="begin"/>
            </w:r>
            <w:r>
              <w:rPr>
                <w:rFonts w:ascii="宋体" w:hAnsi="宋体"/>
                <w:sz w:val="21"/>
              </w:rPr>
              <w:instrText xml:space="preserve"> =100*C5/(B5-C5) </w:instrText>
            </w:r>
            <w:r>
              <w:rPr>
                <w:rFonts w:ascii="宋体" w:hAnsi="宋体"/>
                <w:sz w:val="21"/>
              </w:rPr>
              <w:fldChar w:fldCharType="separate"/>
            </w:r>
            <w:r>
              <w:rPr>
                <w:rFonts w:ascii="宋体" w:hAnsi="宋体"/>
                <w:noProof/>
                <w:sz w:val="21"/>
              </w:rPr>
              <w:t>-0.1839</w:t>
            </w:r>
            <w:r>
              <w:rPr>
                <w:rFonts w:ascii="宋体" w:hAnsi="宋体"/>
                <w:sz w:val="21"/>
              </w:rPr>
              <w:fldChar w:fldCharType="end"/>
            </w:r>
          </w:p>
        </w:tc>
      </w:tr>
      <w:tr w:rsidR="00C0001C" w:rsidTr="00FD0A67">
        <w:trPr>
          <w:trHeight w:val="397"/>
          <w:jc w:val="center"/>
        </w:trPr>
        <w:tc>
          <w:tcPr>
            <w:tcW w:w="170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金融时报指数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5025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Default="00C0001C" w:rsidP="00C0001C">
            <w:pPr>
              <w:jc w:val="right"/>
            </w:pPr>
            <w:r w:rsidRPr="00C0001C">
              <w:rPr>
                <w:rFonts w:ascii="宋体" w:hAnsi="宋体"/>
                <w:sz w:val="21"/>
              </w:rPr>
              <w:t>-14.40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fldChar w:fldCharType="begin"/>
            </w:r>
            <w:r>
              <w:rPr>
                <w:rFonts w:ascii="宋体" w:hAnsi="宋体"/>
                <w:sz w:val="21"/>
              </w:rPr>
              <w:instrText xml:space="preserve"> =100*C7/(B7-C7) </w:instrText>
            </w:r>
            <w:r>
              <w:rPr>
                <w:rFonts w:ascii="宋体" w:hAnsi="宋体"/>
                <w:sz w:val="21"/>
              </w:rPr>
              <w:fldChar w:fldCharType="separate"/>
            </w:r>
            <w:r>
              <w:rPr>
                <w:rFonts w:ascii="宋体" w:hAnsi="宋体"/>
                <w:noProof/>
                <w:sz w:val="21"/>
              </w:rPr>
              <w:t>-0.2857</w:t>
            </w:r>
            <w:r>
              <w:rPr>
                <w:rFonts w:ascii="宋体" w:hAnsi="宋体"/>
                <w:sz w:val="21"/>
              </w:rPr>
              <w:fldChar w:fldCharType="end"/>
            </w:r>
          </w:p>
        </w:tc>
      </w:tr>
      <w:tr w:rsidR="00C0001C" w:rsidRPr="00C0001C" w:rsidTr="00FD0A67">
        <w:trPr>
          <w:trHeight w:val="397"/>
          <w:jc w:val="center"/>
        </w:trPr>
        <w:tc>
          <w:tcPr>
            <w:tcW w:w="170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道琼斯指数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9075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-46.84</w:t>
            </w:r>
          </w:p>
        </w:tc>
        <w:tc>
          <w:tcPr>
            <w:tcW w:w="1531" w:type="dxa"/>
            <w:tcBorders>
              <w:top w:val="single" w:sz="4" w:space="0" w:color="FF0000"/>
              <w:bottom w:val="sing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fldChar w:fldCharType="begin"/>
            </w:r>
            <w:r>
              <w:rPr>
                <w:rFonts w:ascii="宋体" w:hAnsi="宋体"/>
                <w:sz w:val="21"/>
              </w:rPr>
              <w:instrText xml:space="preserve"> =100*C3/(B3-C3) </w:instrText>
            </w:r>
            <w:r>
              <w:rPr>
                <w:rFonts w:ascii="宋体" w:hAnsi="宋体"/>
                <w:sz w:val="21"/>
              </w:rPr>
              <w:fldChar w:fldCharType="separate"/>
            </w:r>
            <w:r>
              <w:rPr>
                <w:rFonts w:ascii="宋体" w:hAnsi="宋体"/>
                <w:noProof/>
                <w:sz w:val="21"/>
              </w:rPr>
              <w:t>-0.5135</w:t>
            </w:r>
            <w:r>
              <w:rPr>
                <w:rFonts w:ascii="宋体" w:hAnsi="宋体"/>
                <w:sz w:val="21"/>
              </w:rPr>
              <w:fldChar w:fldCharType="end"/>
            </w:r>
          </w:p>
        </w:tc>
      </w:tr>
      <w:tr w:rsidR="00C0001C" w:rsidRPr="00C0001C" w:rsidTr="00FD0A67">
        <w:trPr>
          <w:trHeight w:val="397"/>
          <w:jc w:val="center"/>
        </w:trPr>
        <w:tc>
          <w:tcPr>
            <w:tcW w:w="1701" w:type="dxa"/>
            <w:tcBorders>
              <w:top w:val="single" w:sz="4" w:space="0" w:color="FF0000"/>
              <w:bottom w:val="doub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center"/>
              <w:rPr>
                <w:sz w:val="21"/>
              </w:rPr>
            </w:pPr>
            <w:r w:rsidRPr="00C0001C">
              <w:rPr>
                <w:rFonts w:ascii="宋体" w:hAnsi="宋体" w:hint="eastAsia"/>
                <w:sz w:val="21"/>
              </w:rPr>
              <w:t>法兰克福指数</w:t>
            </w:r>
          </w:p>
        </w:tc>
        <w:tc>
          <w:tcPr>
            <w:tcW w:w="1531" w:type="dxa"/>
            <w:tcBorders>
              <w:top w:val="single" w:sz="4" w:space="0" w:color="FF0000"/>
              <w:bottom w:val="doub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4506</w:t>
            </w:r>
          </w:p>
        </w:tc>
        <w:tc>
          <w:tcPr>
            <w:tcW w:w="1531" w:type="dxa"/>
            <w:tcBorders>
              <w:top w:val="single" w:sz="4" w:space="0" w:color="FF0000"/>
              <w:bottom w:val="doub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sz w:val="21"/>
              </w:rPr>
            </w:pPr>
            <w:r w:rsidRPr="00C0001C">
              <w:rPr>
                <w:rFonts w:ascii="宋体" w:hAnsi="宋体"/>
                <w:sz w:val="21"/>
              </w:rPr>
              <w:t>-53.04</w:t>
            </w:r>
          </w:p>
        </w:tc>
        <w:tc>
          <w:tcPr>
            <w:tcW w:w="1531" w:type="dxa"/>
            <w:tcBorders>
              <w:top w:val="single" w:sz="4" w:space="0" w:color="FF0000"/>
              <w:bottom w:val="double" w:sz="4" w:space="0" w:color="FF0000"/>
            </w:tcBorders>
            <w:shd w:val="pct15" w:color="FFFF00" w:fill="auto"/>
            <w:vAlign w:val="center"/>
          </w:tcPr>
          <w:p w:rsidR="00C0001C" w:rsidRPr="00C0001C" w:rsidRDefault="00C0001C" w:rsidP="00C0001C">
            <w:pPr>
              <w:jc w:val="right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fldChar w:fldCharType="begin"/>
            </w:r>
            <w:r>
              <w:rPr>
                <w:rFonts w:ascii="宋体" w:hAnsi="宋体"/>
                <w:sz w:val="21"/>
              </w:rPr>
              <w:instrText xml:space="preserve"> =100*C6/(B6-C6) </w:instrText>
            </w:r>
            <w:r>
              <w:rPr>
                <w:rFonts w:ascii="宋体" w:hAnsi="宋体"/>
                <w:sz w:val="21"/>
              </w:rPr>
              <w:fldChar w:fldCharType="separate"/>
            </w:r>
            <w:r>
              <w:rPr>
                <w:rFonts w:ascii="宋体" w:hAnsi="宋体"/>
                <w:noProof/>
                <w:sz w:val="21"/>
              </w:rPr>
              <w:t>-1.1634</w:t>
            </w:r>
            <w:r>
              <w:rPr>
                <w:rFonts w:ascii="宋体" w:hAnsi="宋体"/>
                <w:sz w:val="21"/>
              </w:rPr>
              <w:fldChar w:fldCharType="end"/>
            </w:r>
          </w:p>
        </w:tc>
      </w:tr>
    </w:tbl>
    <w:p w:rsidR="00144B53" w:rsidRDefault="00144B53" w:rsidP="00C0001C">
      <w:pPr>
        <w:tabs>
          <w:tab w:val="left" w:pos="1588"/>
          <w:tab w:val="left" w:pos="3176"/>
        </w:tabs>
      </w:pPr>
      <w:bookmarkStart w:id="0" w:name="_GoBack"/>
      <w:bookmarkEnd w:id="0"/>
    </w:p>
    <w:sectPr w:rsidR="00144B5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601" w:rsidRDefault="00852601" w:rsidP="006D7DCD">
      <w:r>
        <w:separator/>
      </w:r>
    </w:p>
  </w:endnote>
  <w:endnote w:type="continuationSeparator" w:id="0">
    <w:p w:rsidR="00852601" w:rsidRDefault="00852601" w:rsidP="006D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601" w:rsidRDefault="00852601" w:rsidP="006D7DCD">
      <w:r>
        <w:separator/>
      </w:r>
    </w:p>
  </w:footnote>
  <w:footnote w:type="continuationSeparator" w:id="0">
    <w:p w:rsidR="00852601" w:rsidRDefault="00852601" w:rsidP="006D7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EB7"/>
    <w:rsid w:val="00144B53"/>
    <w:rsid w:val="00195EB7"/>
    <w:rsid w:val="002848A4"/>
    <w:rsid w:val="00327498"/>
    <w:rsid w:val="005F344C"/>
    <w:rsid w:val="006D7DCD"/>
    <w:rsid w:val="00852601"/>
    <w:rsid w:val="00C0001C"/>
    <w:rsid w:val="00FA1768"/>
    <w:rsid w:val="00FD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853C79C-505C-4B60-873A-792B410B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D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D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D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DCD"/>
    <w:rPr>
      <w:sz w:val="18"/>
      <w:szCs w:val="18"/>
    </w:rPr>
  </w:style>
  <w:style w:type="table" w:styleId="a7">
    <w:name w:val="Table Grid"/>
    <w:basedOn w:val="a1"/>
    <w:uiPriority w:val="59"/>
    <w:rsid w:val="00C00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2001年11月1日全球主要市场指数一览</vt:lpstr>
    </vt:vector>
  </TitlesOfParts>
  <Company>微软（中国）有限公司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2001年11月1日全球主要市场指数一览</dc:title>
  <dc:creator>微软（中国）有限公司</dc:creator>
  <cp:lastModifiedBy>LYJ</cp:lastModifiedBy>
  <cp:revision>6</cp:revision>
  <dcterms:created xsi:type="dcterms:W3CDTF">2019-08-23T05:07:00Z</dcterms:created>
  <dcterms:modified xsi:type="dcterms:W3CDTF">2021-04-20T07:07:00Z</dcterms:modified>
</cp:coreProperties>
</file>