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47EDB0" w14:textId="77777777" w:rsidR="008D15DD" w:rsidRPr="00023201" w:rsidRDefault="008D15DD" w:rsidP="00023201">
      <w:pPr>
        <w:spacing w:before="80" w:after="80" w:line="240" w:lineRule="auto"/>
        <w:jc w:val="center"/>
        <w:rPr>
          <w:rFonts w:ascii="华文楷体" w:eastAsia="华文楷体" w:hAnsi="华文楷体"/>
          <w:szCs w:val="21"/>
        </w:rPr>
      </w:pPr>
      <w:r>
        <w:rPr>
          <w:rFonts w:ascii="微软雅黑" w:hAnsi="微软雅黑"/>
          <w:sz w:val="30"/>
        </w:rPr>
        <w:t>义乌跨境电子商务分析</w:t>
      </w:r>
    </w:p>
    <w:p w14:paraId="237651CE" w14:textId="77777777" w:rsidR="008D15DD" w:rsidRPr="007004D1" w:rsidRDefault="007D5E6F" w:rsidP="00431FA4">
      <w:pPr>
        <w:spacing w:before="72" w:after="72" w:line="300" w:lineRule="auto"/>
        <w:ind w:firstLine="480"/>
        <w:rPr>
          <w:rFonts w:ascii="华文楷体" w:eastAsia="华文楷体" w:hAnsi="华文楷体"/>
          <w:szCs w:val="21"/>
        </w:rPr>
      </w:pPr>
      <w:r>
        <w:rPr>
          <w:rFonts w:ascii="仿宋" w:eastAsia="华文楷体" w:hAnsi="仿宋" w:hint="eastAsia"/>
          <w:sz w:val="24"/>
          <w:szCs w:val="21"/>
        </w:rPr>
        <w:t>1.1</w:t>
      </w:r>
      <w:r w:rsidR="008D15DD" w:rsidRPr="007004D1">
        <w:rPr>
          <w:rFonts w:ascii="仿宋" w:eastAsia="华文楷体" w:hAnsi="仿宋" w:hint="eastAsia"/>
          <w:sz w:val="24"/>
          <w:szCs w:val="21"/>
        </w:rPr>
        <w:t>义乌实体市场发展势头趋缓</w:t>
      </w:r>
    </w:p>
    <w:p w14:paraId="0D2D0FA6" w14:textId="3F2AFA8E" w:rsidR="008D15DD" w:rsidRPr="007004D1" w:rsidRDefault="008D15DD" w:rsidP="00431FA4">
      <w:pPr>
        <w:spacing w:before="72" w:after="72" w:line="300" w:lineRule="auto"/>
        <w:ind w:firstLine="480"/>
        <w:rPr>
          <w:rFonts w:ascii="华文楷体" w:eastAsia="华文楷体" w:hAnsi="华文楷体"/>
          <w:szCs w:val="21"/>
        </w:rPr>
      </w:pPr>
      <w:r w:rsidRPr="007004D1">
        <w:rPr>
          <w:rFonts w:ascii="仿宋" w:eastAsia="华文楷体" w:hAnsi="仿宋" w:hint="eastAsia"/>
          <w:sz w:val="24"/>
          <w:szCs w:val="21"/>
        </w:rPr>
        <w:t>金融危机以来，全球经济严重受挫，增速显著放缓。</w:t>
      </w:r>
      <w:r w:rsidRPr="007004D1">
        <w:rPr>
          <w:rFonts w:ascii="仿宋" w:eastAsia="华文楷体" w:hAnsi="仿宋"/>
          <w:sz w:val="24"/>
          <w:szCs w:val="21"/>
        </w:rPr>
        <w:t>2014</w:t>
      </w:r>
      <w:r w:rsidRPr="007004D1">
        <w:rPr>
          <w:rFonts w:ascii="仿宋" w:eastAsia="华文楷体" w:hAnsi="仿宋" w:hint="eastAsia"/>
          <w:sz w:val="24"/>
          <w:szCs w:val="21"/>
        </w:rPr>
        <w:t>年义乌市传统贸易在“市场采购”新模式推动下，前4个月传统贸易出口</w:t>
      </w:r>
      <w:proofErr w:type="gramStart"/>
      <w:r w:rsidRPr="007004D1">
        <w:rPr>
          <w:rFonts w:ascii="仿宋" w:eastAsia="华文楷体" w:hAnsi="仿宋" w:hint="eastAsia"/>
          <w:sz w:val="24"/>
          <w:szCs w:val="21"/>
        </w:rPr>
        <w:t>同比仍</w:t>
      </w:r>
      <w:proofErr w:type="gramEnd"/>
      <w:r w:rsidRPr="007004D1">
        <w:rPr>
          <w:rFonts w:ascii="仿宋" w:eastAsia="华文楷体" w:hAnsi="仿宋" w:hint="eastAsia"/>
          <w:sz w:val="24"/>
          <w:szCs w:val="21"/>
        </w:rPr>
        <w:t>下降</w:t>
      </w:r>
      <w:r w:rsidRPr="007004D1">
        <w:rPr>
          <w:rFonts w:ascii="仿宋" w:eastAsia="华文楷体" w:hAnsi="仿宋"/>
          <w:sz w:val="24"/>
          <w:szCs w:val="21"/>
        </w:rPr>
        <w:t>5.68</w:t>
      </w:r>
      <w:r w:rsidRPr="007004D1">
        <w:rPr>
          <w:rFonts w:ascii="仿宋" w:eastAsia="华文楷体" w:hAnsi="仿宋" w:hint="eastAsia"/>
          <w:sz w:val="24"/>
          <w:szCs w:val="21"/>
        </w:rPr>
        <w:t>个百分点，外贸形势不容乐观。依据“浙江省外经贸监测系统”的</w:t>
      </w:r>
      <w:r w:rsidRPr="007004D1">
        <w:rPr>
          <w:rFonts w:ascii="仿宋" w:eastAsia="华文楷体" w:hAnsi="仿宋"/>
          <w:sz w:val="24"/>
          <w:szCs w:val="21"/>
        </w:rPr>
        <w:t>50</w:t>
      </w:r>
      <w:r w:rsidRPr="007004D1">
        <w:rPr>
          <w:rFonts w:ascii="仿宋" w:eastAsia="华文楷体" w:hAnsi="仿宋" w:hint="eastAsia"/>
          <w:sz w:val="24"/>
          <w:szCs w:val="21"/>
        </w:rPr>
        <w:t>家义乌监测企业看，对出口形势持乐观态度的企业仅</w:t>
      </w:r>
      <w:r w:rsidRPr="007004D1">
        <w:rPr>
          <w:rFonts w:ascii="仿宋" w:eastAsia="华文楷体" w:hAnsi="仿宋"/>
          <w:sz w:val="24"/>
          <w:szCs w:val="21"/>
        </w:rPr>
        <w:t>26%</w:t>
      </w:r>
      <w:r w:rsidRPr="007004D1">
        <w:rPr>
          <w:rFonts w:ascii="仿宋" w:eastAsia="华文楷体" w:hAnsi="仿宋" w:hint="eastAsia"/>
          <w:sz w:val="24"/>
          <w:szCs w:val="21"/>
        </w:rPr>
        <w:t>，近</w:t>
      </w:r>
      <w:r w:rsidRPr="007004D1">
        <w:rPr>
          <w:rFonts w:ascii="仿宋" w:eastAsia="华文楷体" w:hAnsi="仿宋"/>
          <w:sz w:val="24"/>
          <w:szCs w:val="21"/>
        </w:rPr>
        <w:t>7</w:t>
      </w:r>
      <w:r w:rsidRPr="007004D1">
        <w:rPr>
          <w:rFonts w:ascii="仿宋" w:eastAsia="华文楷体" w:hAnsi="仿宋" w:hint="eastAsia"/>
          <w:sz w:val="24"/>
          <w:szCs w:val="21"/>
        </w:rPr>
        <w:t>成企业订单量不如往年。而国内原材料、劳动力等要素成本不断提高，人民币持续升值，企业利润剧降，义乌外贸企业已经是危机四伏。伴着传统外贸的发展困局，转型升级对于我国外贸导向型企业而言已经迫在眉睫。</w:t>
      </w:r>
    </w:p>
    <w:p w14:paraId="14BE158B" w14:textId="77777777" w:rsidR="008D15DD" w:rsidRPr="007004D1" w:rsidRDefault="00004EE3" w:rsidP="00431FA4">
      <w:pPr>
        <w:spacing w:before="72" w:after="72" w:line="300" w:lineRule="auto"/>
        <w:ind w:firstLine="480"/>
        <w:rPr>
          <w:rFonts w:ascii="华文楷体" w:eastAsia="华文楷体" w:hAnsi="华文楷体"/>
          <w:szCs w:val="21"/>
        </w:rPr>
      </w:pPr>
      <w:r>
        <w:rPr>
          <w:rFonts w:ascii="仿宋" w:hAnsi="仿宋"/>
          <w:sz w:val="24"/>
        </w:rPr>
        <w:t>1.2投资建设义乌跨境电子商务产业园</w:t>
      </w:r>
    </w:p>
    <w:p w14:paraId="5B4D3ED9" w14:textId="77777777" w:rsidR="008D15DD" w:rsidRPr="007004D1" w:rsidRDefault="008D15DD" w:rsidP="00431FA4">
      <w:pPr>
        <w:spacing w:before="72" w:after="72" w:line="300" w:lineRule="auto"/>
        <w:ind w:firstLine="480"/>
        <w:rPr>
          <w:rFonts w:ascii="华文楷体" w:eastAsia="华文楷体" w:hAnsi="华文楷体"/>
          <w:szCs w:val="21"/>
        </w:rPr>
      </w:pPr>
      <w:r>
        <w:rPr>
          <w:rFonts w:ascii="仿宋" w:hAnsi="仿宋"/>
          <w:sz w:val="24"/>
        </w:rPr>
        <w:t>为了让跨境电子商务行业更好的发展，义乌投资5亿元建设了占地143亩的义乌跨境电子商务园区，创建一个开放性平台。海关监管将作为园区平台的重点，同时园区将为跨境电子商务企业及其产业链相关服务企业提供配套设施。园区配有日均处理量达10万件邮递快件处理作业区，海关监管查验区以及B型保税区等。目前已发展为年跨境销售4亿美元，包含200多公司，凸显规模效益的产业园。</w:t>
      </w:r>
    </w:p>
    <w:p w14:paraId="3D71045E" w14:textId="77777777" w:rsidR="008D15DD" w:rsidRPr="007004D1" w:rsidRDefault="008D15DD" w:rsidP="00431FA4">
      <w:pPr>
        <w:spacing w:before="72" w:after="72" w:line="300" w:lineRule="auto"/>
        <w:ind w:firstLine="480"/>
        <w:rPr>
          <w:rFonts w:ascii="华文楷体" w:eastAsia="华文楷体" w:hAnsi="华文楷体"/>
          <w:szCs w:val="21"/>
        </w:rPr>
      </w:pPr>
      <w:r>
        <w:rPr>
          <w:rFonts w:ascii="仿宋" w:hAnsi="仿宋"/>
          <w:sz w:val="24"/>
        </w:rPr>
        <w:t xml:space="preserve">义乌跨境电子商务园区有三大集群，其功能定位如表1所示: </w:t>
      </w:r>
    </w:p>
    <w:p w14:paraId="33C15574" w14:textId="77777777" w:rsidR="008D15DD" w:rsidRPr="0051302F" w:rsidRDefault="008D15DD" w:rsidP="00EE11B4">
      <w:pPr>
        <w:spacing w:beforeLines="50" w:before="72" w:line="300" w:lineRule="auto" w:after="72"/>
        <w:ind w:firstLineChars="200" w:firstLine="480"/>
        <w:rPr>
          <w:rFonts w:asciiTheme="minorEastAsia" w:eastAsiaTheme="minorEastAsia" w:hAnsiTheme="minorEastAsia"/>
          <w:sz w:val="24"/>
          <w:szCs w:val="24"/>
        </w:rPr>
      </w:pPr>
      <w:r>
        <w:rPr>
          <w:rFonts w:ascii="仿宋" w:hAnsi="仿宋"/>
          <w:sz w:val="24"/>
        </w:rPr>
        <w:t>表1义乌跨境电子商务园区功能定位</w:t>
      </w:r>
    </w:p>
    <w:p w14:paraId="1AF80BAC" w14:textId="77777777" w:rsidR="008D15DD" w:rsidRPr="001942AC" w:rsidRDefault="008D15DD" w:rsidP="002E2648">
      <w:pPr>
        <w:tabs>
          <w:tab w:val="left" w:pos="1668"/>
          <w:tab w:val="left" w:pos="3018"/>
        </w:tabs>
        <w:spacing w:before="72" w:after="72" w:line="300" w:lineRule="auto"/>
        <w:ind w:left="1242" w:firstLine="480"/>
        <w:jc w:val="left"/>
        <w:rPr>
          <w:rFonts w:asciiTheme="minorEastAsia" w:hAnsiTheme="minorEastAsia"/>
          <w:sz w:val="18"/>
          <w:szCs w:val="18"/>
        </w:rPr>
      </w:pPr>
      <w:r>
        <w:rPr>
          <w:rFonts w:asciiTheme="minorEastAsia" w:hAnsiTheme="minorEastAsia" w:hint="eastAsia" w:ascii="仿宋" w:hAnsi="仿宋"/>
          <w:sz w:val="24"/>
          <w:szCs w:val="18"/>
        </w:rPr>
        <w:t>1</w:t>
      </w:r>
      <w:r w:rsidRPr="001942AC">
        <w:rPr>
          <w:rFonts w:asciiTheme="minorEastAsia" w:hAnsiTheme="minorEastAsia" w:ascii="仿宋" w:hAnsi="仿宋"/>
          <w:sz w:val="24"/>
          <w:szCs w:val="18"/>
        </w:rPr>
        <w:tab/>
      </w:r>
      <w:r w:rsidRPr="001942AC">
        <w:rPr>
          <w:rFonts w:asciiTheme="minorEastAsia" w:hAnsiTheme="minorEastAsia" w:hint="eastAsia" w:ascii="仿宋" w:hAnsi="仿宋"/>
          <w:sz w:val="24"/>
          <w:szCs w:val="18"/>
        </w:rPr>
        <w:t>产业园集群</w:t>
      </w:r>
      <w:r w:rsidRPr="001942AC">
        <w:rPr>
          <w:rFonts w:asciiTheme="minorEastAsia" w:hAnsiTheme="minorEastAsia" w:ascii="仿宋" w:hAnsi="仿宋"/>
          <w:sz w:val="24"/>
          <w:szCs w:val="18"/>
        </w:rPr>
        <w:tab/>
      </w:r>
      <w:r w:rsidRPr="001942AC">
        <w:rPr>
          <w:rFonts w:asciiTheme="minorEastAsia" w:hAnsiTheme="minorEastAsia" w:hint="eastAsia" w:ascii="仿宋" w:hAnsi="仿宋"/>
          <w:sz w:val="24"/>
          <w:szCs w:val="18"/>
        </w:rPr>
        <w:t>建立一园多点的跨境</w:t>
      </w:r>
      <w:r w:rsidR="007004D1" w:rsidRPr="000620A1">
        <w:rPr>
          <w:rFonts w:ascii="仿宋" w:hAnsi="仿宋" w:hint="eastAsia"/>
          <w:color w:val="000000"/>
          <w:sz w:val="24"/>
          <w:szCs w:val="18"/>
        </w:rPr>
        <w:t>电商</w:t>
      </w:r>
      <w:r w:rsidRPr="001942AC">
        <w:rPr>
          <w:rFonts w:asciiTheme="minorEastAsia" w:hAnsiTheme="minorEastAsia" w:hint="eastAsia" w:ascii="仿宋" w:hAnsi="仿宋"/>
          <w:sz w:val="24"/>
          <w:szCs w:val="18"/>
        </w:rPr>
        <w:t>园区格局，打造“政府引导、企业运营、一站服务”的跨境电</w:t>
      </w:r>
      <w:proofErr w:type="gramStart"/>
      <w:r w:rsidRPr="001942AC">
        <w:rPr>
          <w:rFonts w:asciiTheme="minorEastAsia" w:hAnsiTheme="minorEastAsia" w:hint="eastAsia" w:ascii="仿宋" w:hAnsi="仿宋"/>
          <w:sz w:val="24"/>
          <w:szCs w:val="18"/>
        </w:rPr>
        <w:t>商产业</w:t>
      </w:r>
      <w:proofErr w:type="gramEnd"/>
      <w:r w:rsidRPr="001942AC">
        <w:rPr>
          <w:rFonts w:asciiTheme="minorEastAsia" w:hAnsiTheme="minorEastAsia" w:hint="eastAsia" w:ascii="仿宋" w:hAnsi="仿宋"/>
          <w:sz w:val="24"/>
          <w:szCs w:val="18"/>
        </w:rPr>
        <w:t>园区集群。</w:t>
      </w:r>
    </w:p>
    <w:p w14:paraId="38E498BB" w14:textId="77777777" w:rsidR="008D15DD" w:rsidRPr="001942AC" w:rsidRDefault="008D15DD" w:rsidP="002E2648">
      <w:pPr>
        <w:tabs>
          <w:tab w:val="left" w:pos="1668"/>
          <w:tab w:val="left" w:pos="3018"/>
        </w:tabs>
        <w:spacing w:before="72" w:after="72" w:line="300" w:lineRule="auto"/>
        <w:ind w:left="1242" w:firstLine="480"/>
        <w:jc w:val="left"/>
        <w:rPr>
          <w:rFonts w:asciiTheme="minorEastAsia" w:hAnsiTheme="minorEastAsia"/>
          <w:sz w:val="18"/>
          <w:szCs w:val="18"/>
        </w:rPr>
      </w:pPr>
      <w:r>
        <w:rPr>
          <w:rFonts w:asciiTheme="minorEastAsia" w:hAnsiTheme="minorEastAsia" w:hint="eastAsia" w:ascii="仿宋" w:hAnsi="仿宋"/>
          <w:sz w:val="24"/>
          <w:szCs w:val="18"/>
        </w:rPr>
        <w:t>2</w:t>
      </w:r>
      <w:r w:rsidRPr="001942AC">
        <w:rPr>
          <w:rFonts w:asciiTheme="minorEastAsia" w:hAnsiTheme="minorEastAsia" w:ascii="仿宋" w:hAnsi="仿宋"/>
          <w:sz w:val="24"/>
          <w:szCs w:val="18"/>
        </w:rPr>
        <w:tab/>
      </w:r>
      <w:r w:rsidRPr="001942AC">
        <w:rPr>
          <w:rFonts w:asciiTheme="minorEastAsia" w:hAnsiTheme="minorEastAsia" w:hint="eastAsia" w:ascii="仿宋" w:hAnsi="仿宋"/>
          <w:sz w:val="24"/>
          <w:szCs w:val="18"/>
        </w:rPr>
        <w:t>行政监管集群</w:t>
      </w:r>
      <w:r w:rsidRPr="001942AC">
        <w:rPr>
          <w:rFonts w:asciiTheme="minorEastAsia" w:hAnsiTheme="minorEastAsia" w:ascii="仿宋" w:hAnsi="仿宋"/>
          <w:sz w:val="24"/>
          <w:szCs w:val="18"/>
        </w:rPr>
        <w:tab/>
      </w:r>
      <w:r w:rsidRPr="001942AC">
        <w:rPr>
          <w:rFonts w:asciiTheme="minorEastAsia" w:hAnsiTheme="minorEastAsia" w:hint="eastAsia" w:ascii="仿宋" w:hAnsi="仿宋"/>
          <w:sz w:val="24"/>
          <w:szCs w:val="18"/>
        </w:rPr>
        <w:t>海关、检疫、税务等部门引入产业园区，实现全面高效监管。</w:t>
      </w:r>
    </w:p>
    <w:p w14:paraId="34C41035" w14:textId="77777777" w:rsidR="008D15DD" w:rsidRPr="001942AC" w:rsidRDefault="008D15DD" w:rsidP="002E2648">
      <w:pPr>
        <w:tabs>
          <w:tab w:val="left" w:pos="1668"/>
          <w:tab w:val="left" w:pos="3018"/>
        </w:tabs>
        <w:spacing w:before="72" w:after="72" w:line="300" w:lineRule="auto"/>
        <w:ind w:left="1242" w:firstLine="480"/>
        <w:jc w:val="left"/>
        <w:rPr>
          <w:rFonts w:asciiTheme="minorEastAsia" w:hAnsiTheme="minorEastAsia"/>
          <w:sz w:val="18"/>
          <w:szCs w:val="18"/>
        </w:rPr>
      </w:pPr>
      <w:r>
        <w:rPr>
          <w:rFonts w:asciiTheme="minorEastAsia" w:hAnsiTheme="minorEastAsia" w:hint="eastAsia" w:ascii="仿宋" w:hAnsi="仿宋"/>
          <w:sz w:val="24"/>
          <w:szCs w:val="18"/>
        </w:rPr>
        <w:t>3</w:t>
      </w:r>
      <w:r w:rsidRPr="001942AC">
        <w:rPr>
          <w:rFonts w:asciiTheme="minorEastAsia" w:hAnsiTheme="minorEastAsia" w:ascii="仿宋" w:hAnsi="仿宋"/>
          <w:sz w:val="24"/>
          <w:szCs w:val="18"/>
        </w:rPr>
        <w:tab/>
      </w:r>
      <w:r w:rsidRPr="001942AC">
        <w:rPr>
          <w:rFonts w:asciiTheme="minorEastAsia" w:hAnsiTheme="minorEastAsia" w:hint="eastAsia" w:ascii="仿宋" w:hAnsi="仿宋"/>
          <w:sz w:val="24"/>
          <w:szCs w:val="18"/>
        </w:rPr>
        <w:t>公共服务体系</w:t>
      </w:r>
      <w:r w:rsidRPr="001942AC">
        <w:rPr>
          <w:rFonts w:asciiTheme="minorEastAsia" w:hAnsiTheme="minorEastAsia" w:ascii="仿宋" w:hAnsi="仿宋"/>
          <w:sz w:val="24"/>
          <w:szCs w:val="18"/>
        </w:rPr>
        <w:tab/>
      </w:r>
      <w:r w:rsidRPr="001942AC">
        <w:rPr>
          <w:rFonts w:asciiTheme="minorEastAsia" w:hAnsiTheme="minorEastAsia" w:hint="eastAsia" w:ascii="仿宋" w:hAnsi="仿宋"/>
          <w:sz w:val="24"/>
          <w:szCs w:val="18"/>
        </w:rPr>
        <w:t>实现服务、办公、展销、生活一体化,形成综合全面的电</w:t>
      </w:r>
      <w:proofErr w:type="gramStart"/>
      <w:r w:rsidRPr="001942AC">
        <w:rPr>
          <w:rFonts w:asciiTheme="minorEastAsia" w:hAnsiTheme="minorEastAsia" w:hint="eastAsia" w:ascii="仿宋" w:hAnsi="仿宋"/>
          <w:sz w:val="24"/>
          <w:szCs w:val="18"/>
        </w:rPr>
        <w:t>商产业</w:t>
      </w:r>
      <w:proofErr w:type="gramEnd"/>
      <w:r w:rsidRPr="001942AC">
        <w:rPr>
          <w:rFonts w:asciiTheme="minorEastAsia" w:hAnsiTheme="minorEastAsia" w:hint="eastAsia" w:ascii="仿宋" w:hAnsi="仿宋"/>
          <w:sz w:val="24"/>
          <w:szCs w:val="18"/>
        </w:rPr>
        <w:t>政策体系以及高效的公共服务体系。</w:t>
      </w:r>
    </w:p>
    <w:p w14:paraId="60AE85A9" w14:textId="77777777" w:rsidR="008D15DD" w:rsidRDefault="008D15DD" w:rsidP="008D15DD">
      <w:pPr>
        <w:spacing w:before="72" w:after="72" w:line="300" w:lineRule="auto"/>
        <w:ind w:firstLine="480"/>
      </w:pPr>
    </w:p>
    <w:tbl>
      <w:tblPr>
        <w:tblW w:type="auto" w:w="0"/>
        <w:jc w:val="center"/>
        <w:tblLook w:firstColumn="1" w:firstRow="1" w:lastColumn="0" w:lastRow="0" w:noHBand="0" w:noVBand="1" w:val="04A0"/>
      </w:tblPr>
      <w:tblGrid>
        <w:gridCol w:w="454"/>
        <w:gridCol w:w="1349"/>
        <w:gridCol w:w="4422"/>
      </w:tblGrid>
      <w:tr>
        <w:tc>
          <w:tcPr>
            <w:tcW w:type="dxa" w:w="2239"/>
            <w:vAlign w:val="center"/>
          </w:tcPr>
          <w:p>
            <w:r>
              <w:t>1</w:t>
            </w:r>
          </w:p>
        </w:tc>
        <w:tc>
          <w:tcPr>
            <w:tcW w:type="dxa" w:w="2239"/>
            <w:vAlign w:val="center"/>
          </w:tcPr>
          <w:p>
            <w:r>
              <w:t>产业园集群</w:t>
            </w:r>
          </w:p>
        </w:tc>
        <w:tc>
          <w:tcPr>
            <w:tcW w:type="dxa" w:w="2239"/>
            <w:vAlign w:val="center"/>
          </w:tcPr>
          <w:p>
            <w:r>
              <w:t>建立一园多点的跨境电商园区格局，打造"政府引导、企业运营、一站服务"的跨境电商产业园区集群。</w:t>
            </w:r>
          </w:p>
        </w:tc>
      </w:tr>
      <w:tr>
        <w:tc>
          <w:tcPr>
            <w:tcW w:type="dxa" w:w="2239"/>
            <w:vAlign w:val="center"/>
          </w:tcPr>
          <w:p>
            <w:r>
              <w:t>2</w:t>
            </w:r>
          </w:p>
        </w:tc>
        <w:tc>
          <w:tcPr>
            <w:tcW w:type="dxa" w:w="2239"/>
            <w:vAlign w:val="center"/>
          </w:tcPr>
          <w:p>
            <w:r>
              <w:t>行政监管集群</w:t>
            </w:r>
          </w:p>
        </w:tc>
        <w:tc>
          <w:tcPr>
            <w:tcW w:type="dxa" w:w="2239"/>
            <w:vAlign w:val="center"/>
          </w:tcPr>
          <w:p>
            <w:r>
              <w:t>海关、检疫、税务等部门引入产业园区，实现全面高效监管。</w:t>
            </w:r>
          </w:p>
        </w:tc>
      </w:tr>
      <w:tr>
        <w:tc>
          <w:tcPr>
            <w:tcW w:type="dxa" w:w="2239"/>
            <w:vAlign w:val="center"/>
          </w:tcPr>
          <w:p>
            <w:r>
              <w:t>3</w:t>
            </w:r>
          </w:p>
        </w:tc>
        <w:tc>
          <w:tcPr>
            <w:tcW w:type="dxa" w:w="2239"/>
            <w:vAlign w:val="center"/>
          </w:tcPr>
          <w:p>
            <w:r>
              <w:t>公共服务体系</w:t>
            </w:r>
          </w:p>
        </w:tc>
        <w:tc>
          <w:tcPr>
            <w:tcW w:type="dxa" w:w="2239"/>
            <w:vAlign w:val="center"/>
          </w:tcPr>
          <w:p>
            <w:r>
              <w:t>实现服务、办公、展销、生活一体化，形成综合全面的电商产业政策体系以及高效的公共服务体系。</w:t>
            </w:r>
          </w:p>
        </w:tc>
      </w:tr>
    </w:tbl>
    <w:sectPr w:rsidR="008D15DD">
      <w:headerReference w:type="default" r:id="rId8"/>
      <w:footerReference w:type="default" r:id="rId9"/>
      <w:pgSz w:w="10318" w:h="1457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8F86AFB" w14:textId="77777777" w:rsidR="00D32425" w:rsidRDefault="00D32425" w:rsidP="006C54E2">
      <w:r>
        <w:separator/>
      </w:r>
    </w:p>
  </w:endnote>
  <w:endnote w:type="continuationSeparator" w:id="0">
    <w:p w14:paraId="329C1E5E" w14:textId="77777777" w:rsidR="00D32425" w:rsidRDefault="00D32425" w:rsidP="006C54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20002A87" w:usb1="00000000" w:usb2="00000000" w:usb3="00000000" w:csb0="000001FF" w:csb1="00000000"/>
  </w:font>
  <w:font w:name="Calibri">
    <w:panose1 w:val="020F0502020204030204"/>
    <w:charset w:val="00"/>
    <w:family w:val="swiss"/>
    <w:pitch w:val="variable"/>
    <w:sig w:usb0="E0002AFF" w:usb1="4000ACFF" w:usb2="00000001" w:usb3="00000000" w:csb0="000001FF" w:csb1="00000000"/>
  </w:font>
  <w:font w:name="华文楷体">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24A9E61" w14:textId="77777777" w:rsidR="00D32425" w:rsidRDefault="00D32425" w:rsidP="006C54E2">
      <w:r>
        <w:separator/>
      </w:r>
    </w:p>
  </w:footnote>
  <w:footnote w:type="continuationSeparator" w:id="0">
    <w:p w14:paraId="68476913" w14:textId="77777777" w:rsidR="00D32425" w:rsidRDefault="00D32425" w:rsidP="006C54E2">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5"/>
  <w:bordersDoNotSurroundHeader/>
  <w:bordersDoNotSurroundFooter/>
  <w:proofState w:spelling="clean" w:grammar="clean"/>
  <w:defaultTabStop w:val="425"/>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4E2"/>
    <w:rsid w:val="00004EE3"/>
    <w:rsid w:val="00023201"/>
    <w:rsid w:val="00283EFC"/>
    <w:rsid w:val="00342801"/>
    <w:rsid w:val="00431FA4"/>
    <w:rsid w:val="0051302F"/>
    <w:rsid w:val="005B480A"/>
    <w:rsid w:val="005E6106"/>
    <w:rsid w:val="006C54E2"/>
    <w:rsid w:val="006D5427"/>
    <w:rsid w:val="007004D1"/>
    <w:rsid w:val="007D5E6F"/>
    <w:rsid w:val="007E6B50"/>
    <w:rsid w:val="008418ED"/>
    <w:rsid w:val="008D15DD"/>
    <w:rsid w:val="009A75F4"/>
    <w:rsid w:val="00BA28C0"/>
    <w:rsid w:val="00C17FCF"/>
    <w:rsid w:val="00D32425"/>
    <w:rsid w:val="00DA7BE8"/>
    <w:rsid w:val="00EE11B4"/>
    <w:rsid w:val="00EF6C6E"/>
    <w:rsid w:val="00F3646D"/>
    <w:rsid w:val="00F42B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2BB02D15"/>
  <w15:docId w15:val="{1733F9DD-A52B-44E2-8588-032FC9074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semiHidden/>
    <w:rPr>
      <w:rFonts w:ascii="宋体" w:hAnsi="Courier New"/>
    </w:rPr>
  </w:style>
  <w:style w:type="paragraph" w:styleId="a4">
    <w:name w:val="header"/>
    <w:basedOn w:val="a"/>
    <w:link w:val="a5"/>
    <w:uiPriority w:val="99"/>
    <w:unhideWhenUsed/>
    <w:rsid w:val="006C54E2"/>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uiPriority w:val="99"/>
    <w:rsid w:val="006C54E2"/>
    <w:rPr>
      <w:kern w:val="2"/>
      <w:sz w:val="18"/>
      <w:szCs w:val="18"/>
    </w:rPr>
  </w:style>
  <w:style w:type="paragraph" w:styleId="a6">
    <w:name w:val="footer"/>
    <w:basedOn w:val="a"/>
    <w:link w:val="a7"/>
    <w:uiPriority w:val="99"/>
    <w:unhideWhenUsed/>
    <w:rsid w:val="006C54E2"/>
    <w:pPr>
      <w:tabs>
        <w:tab w:val="center" w:pos="4153"/>
        <w:tab w:val="right" w:pos="8306"/>
      </w:tabs>
      <w:snapToGrid w:val="0"/>
      <w:jc w:val="left"/>
    </w:pPr>
    <w:rPr>
      <w:sz w:val="18"/>
      <w:szCs w:val="18"/>
    </w:rPr>
  </w:style>
  <w:style w:type="character" w:customStyle="1" w:styleId="a7">
    <w:name w:val="页脚 字符"/>
    <w:link w:val="a6"/>
    <w:uiPriority w:val="99"/>
    <w:rsid w:val="006C54E2"/>
    <w:rPr>
      <w:kern w:val="2"/>
      <w:sz w:val="18"/>
      <w:szCs w:val="18"/>
    </w:rPr>
  </w:style>
  <w:style w:type="table" w:styleId="a8">
    <w:name w:val="Table Grid"/>
    <w:basedOn w:val="a1"/>
    <w:uiPriority w:val="59"/>
    <w:rsid w:val="008D15DD"/>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586</Words>
  <Characters>43</Characters>
  <Application>Microsoft Office Word</Application>
  <DocSecurity>0</DocSecurity>
  <Lines>1</Lines>
  <Paragraphs>1</Paragraphs>
  <ScaleCrop>false</ScaleCrop>
  <HeadingPairs>
    <vt:vector size="2" baseType="variant">
      <vt:variant>
        <vt:lpstr>题目</vt:lpstr>
      </vt:variant>
      <vt:variant>
        <vt:i4>1</vt:i4>
      </vt:variant>
    </vt:vector>
  </HeadingPairs>
  <TitlesOfParts>
    <vt:vector size="1" baseType="lpstr">
      <vt:lpstr>拿职称得会计算机</vt:lpstr>
    </vt:vector>
  </TitlesOfParts>
  <Company> NCRE</Company>
  <LinksUpToDate>false</LinksUpToDate>
  <CharactersWithSpaces>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义乌跨境电子商务分析</dc:title>
  <dc:subject/>
  <dc:creator>UIBEr</dc:creator>
  <cp:keywords/>
  <cp:lastModifiedBy>测试用户1</cp:lastModifiedBy>
  <cp:revision>10</cp:revision>
  <dcterms:created xsi:type="dcterms:W3CDTF">2013-05-31T13:50:00Z</dcterms:created>
  <dcterms:modified xsi:type="dcterms:W3CDTF">2020-09-13T13:56:00Z</dcterms:modified>
</cp:coreProperties>
</file>