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 持续注意并非能够由单次行为反应或单一生理信号直接观测的心理变量，其变化同时表现为任务成绩、主观体验、眼部活动、心肺相关活动与外显行为的波动。本研究以游戏化持续性注意反应任务为统一测量情境，通过两阶段预实验确定正式任务的负荷水平、刺激序列与思维探针设计。正式实验由 61 名参与者完成 116 个实验场次，每场包含两个结构相同的任务区块，同步记录行为反应、思维探针、近红外瞳孔视频、毫米波雷达信号与 RGB 视频。分析以行为表现和思维探针为认知参照，检验瞳孔几何、心率与呼吸、可见行为特征与注意状态的效标关联，并在 109 个场次的共同样本上比较各模态相对行为基准的预测增量。结果显示：瞳孔缩小与 Go 遗漏及“大脑空白”报告相关，呼吸频率与警觉程度相关，眨眼候选事件率随任务进程升高并与较低警觉相关；各传感模态的预测增量总体较小，其中 RGB 对注意内容分类提供小幅稳定增益。结果表明，行为与主观报告仍是当前最有效的测评参照，无感传感通道提供过程信息与连续监测可能，多模态价值需以效标关联与增量证据共同界定。</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pPr>
        <w:jc w:val="center"/>
      </w:pPr>
      <w:r>
        <w:rPr>
          <w:rFonts w:ascii="Times New Roman" w:hAnsi="Times New Roman" w:eastAsia="宋体"/>
          <w:b/>
          <w:sz w:val="21"/>
        </w:rPr>
        <w:t>表 1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pPr>
        <w:pStyle w:val="4"/>
      </w:pPr>
      <w:r>
        <w:t>2.4 现有测评技术与无感连续传感</w:t>
      </w:r>
    </w:p>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pPr>
        <w:jc w:val="center"/>
      </w:pPr>
      <w:r>
        <w:rPr>
          <w:rFonts w:ascii="Times New Roman" w:hAnsi="Times New Roman" w:eastAsia="宋体"/>
          <w:b/>
          <w:sz w:val="21"/>
        </w:rPr>
        <w:t>表 2 常见持续注意测量方法比较</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因此，现有测量方法更适合按“能够观察什么”和“主要受什么限制”来比较，而不宜简单排列为高低等级。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3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pPr>
        <w:jc w:val="center"/>
      </w:pPr>
      <w:r>
        <w:rPr>
          <w:rFonts w:ascii="Times New Roman" w:hAnsi="Times New Roman" w:eastAsia="宋体"/>
          <w:b/>
          <w:sz w:val="21"/>
        </w:rPr>
        <w:t>图 11 毫米波心率与呼吸估计处理管线</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4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5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6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2" name="Picture 1688596222"/>
            <wp:cNvGraphicFramePr>
              <a:graphicFrameLocks noChangeAspect="1"/>
            </wp:cNvGraphicFramePr>
            <a:graphic>
              <a:graphicData uri="http://schemas.openxmlformats.org/drawingml/2006/picture">
                <pic:pic>
                  <pic:nvPicPr>
                    <pic:cNvPr id="0" name="Figure09_data_quality_cover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7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8，增量见图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8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