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1</w:t>
      </w:r>
      <w:r>
        <w:fldChar w:fldCharType="end"/>
      </w:r>
      <w:r>
        <w:rPr>
          <w:rFonts w:hint="eastAsia"/>
          <w:lang w:eastAsia="zh-CN"/>
        </w:rPr>
        <w:t xml:space="preserve"> </w:t>
      </w:r>
      <w:r>
        <w:rPr>
          <w:rFonts w:hint="eastAsia"/>
          <w:lang w:eastAsia="zh-CN"/>
        </w:rPr>
        <w:t>不同大小的刺激呈现示例图</w:t>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2</w:t>
      </w:r>
      <w:r>
        <w:fldChar w:fldCharType="end"/>
      </w:r>
      <w:r>
        <w:rPr>
          <w:rFonts w:hint="eastAsia"/>
          <w:lang w:eastAsia="zh-CN"/>
        </w:rPr>
        <w:t xml:space="preserve"> </w:t>
      </w:r>
      <w:r>
        <w:rPr>
          <w:rFonts w:hint="eastAsia"/>
          <w:lang w:eastAsia="zh-CN"/>
        </w:rPr>
        <w:t>预实验流程</w:t>
      </w:r>
      <w:r>
        <w:rPr>
          <w:rFonts w:hint="eastAsia"/>
          <w:lang w:eastAsia="zh-CN"/>
        </w:rPr>
        <w:t xml:space="preserve"> (A) </w:t>
      </w:r>
      <w:r>
        <w:rPr>
          <w:rFonts w:hint="eastAsia"/>
          <w:lang w:eastAsia="zh-CN"/>
        </w:rPr>
        <w:t>各试验类型的时间结构与关键时间节点</w:t>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3</w:t>
      </w:r>
      <w:r>
        <w:fldChar w:fldCharType="end"/>
      </w:r>
      <w:r>
        <w:rPr>
          <w:rFonts w:hint="eastAsia"/>
          <w:lang w:eastAsia="zh-CN"/>
        </w:rPr>
        <w:t xml:space="preserve"> </w:t>
      </w:r>
      <w:r>
        <w:rPr>
          <w:rFonts w:hint="eastAsia"/>
          <w:lang w:eastAsia="zh-CN"/>
        </w:rPr>
        <w:t>实验流程</w:t>
      </w:r>
      <w:r>
        <w:rPr>
          <w:rFonts w:hint="eastAsia"/>
          <w:lang w:eastAsia="zh-CN"/>
        </w:rPr>
        <w:t xml:space="preserve"> (B) </w:t>
      </w:r>
      <w:r>
        <w:rPr>
          <w:rFonts w:hint="eastAsia"/>
          <w:lang w:eastAsia="zh-CN"/>
        </w:rPr>
        <w:t>屏幕呈现的视觉刺激序列</w:t>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0606BFAF" w14:textId="77777777" w:rsidR="000A1692" w:rsidRDefault="00000000">
      <w:pPr>
        <w:ind w:firstLineChars="0" w:firstLine="0"/>
        <w:jc w:val="center"/>
        <w:rPr>
          <w:lang w:bidi="ar"/>
        </w:rPr>
      </w:pPr>
      <w:r>
        <w:rPr>
          <w:rFonts w:hint="eastAsia"/>
          <w:noProof/>
          <w:lang w:bidi="ar"/>
        </w:rPr>
        <w:lastRenderedPageBreak/>
        <w:drawing>
          <wp:inline distT="0" distB="0" distL="0" distR="0" wp14:anchorId="350BA1F6" wp14:editId="1A511830">
            <wp:extent cx="1929765" cy="14484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938856" cy="1455081"/>
                    </a:xfrm>
                    <a:prstGeom prst="rect">
                      <a:avLst/>
                    </a:prstGeom>
                    <a:noFill/>
                    <a:ln>
                      <a:noFill/>
                    </a:ln>
                  </pic:spPr>
                </pic:pic>
              </a:graphicData>
            </a:graphic>
          </wp:inline>
        </w:drawing>
      </w:r>
      <w:r>
        <w:rPr>
          <w:rFonts w:hint="eastAsia"/>
          <w:noProof/>
          <w:lang w:bidi="ar"/>
        </w:rPr>
        <w:drawing>
          <wp:inline distT="0" distB="0" distL="0" distR="0" wp14:anchorId="3419974B" wp14:editId="54CDF861">
            <wp:extent cx="2558415" cy="1438910"/>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578969" cy="1450865"/>
                    </a:xfrm>
                    <a:prstGeom prst="rect">
                      <a:avLst/>
                    </a:prstGeom>
                    <a:noFill/>
                    <a:ln>
                      <a:noFill/>
                    </a:ln>
                  </pic:spPr>
                </pic:pic>
              </a:graphicData>
            </a:graphic>
          </wp:inline>
        </w:drawing>
      </w:r>
    </w:p>
    <w:p w14:paraId="77288EF6" w14:textId="77777777" w:rsidR="000A1692" w:rsidRDefault="00000000">
      <w:pPr>
        <w:ind w:firstLineChars="0" w:firstLine="0"/>
        <w:jc w:val="center"/>
        <w:rPr>
          <w:rFonts w:cs="Times New Roman"/>
          <w:lang w:eastAsia="zh" w:bidi="ar"/>
        </w:rPr>
      </w:pPr>
      <w:r>
        <w:rPr>
          <w:rFonts w:hint="eastAsia"/>
          <w:noProof/>
          <w:lang w:eastAsia="zh" w:bidi="ar"/>
        </w:rPr>
        <w:drawing>
          <wp:inline distT="0" distB="0" distL="114300" distR="114300" wp14:anchorId="7CBE7CCC" wp14:editId="32C69CF7">
            <wp:extent cx="5055870" cy="3469640"/>
            <wp:effectExtent l="0" t="0" r="11430" b="165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055870" cy="3469640"/>
                    </a:xfrm>
                    <a:prstGeom prst="rect">
                      <a:avLst/>
                    </a:prstGeom>
                  </pic:spPr>
                </pic:pic>
              </a:graphicData>
            </a:graphic>
          </wp:inline>
        </w:drawing>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3F2E4035" w14:textId="77777777" w:rsidR="000A1692" w:rsidRDefault="00000000">
      <w:pPr>
        <w:ind w:firstLineChars="0" w:firstLine="0"/>
        <w:jc w:val="center"/>
        <w:rPr>
          <w:lang w:eastAsia="zh" w:bidi="ar"/>
        </w:rPr>
      </w:pPr>
      <w:r>
        <w:rPr>
          <w:rFonts w:hint="eastAsia"/>
          <w:noProof/>
          <w:lang w:eastAsia="zh" w:bidi="ar"/>
        </w:rPr>
        <w:drawing>
          <wp:inline distT="0" distB="0" distL="114300" distR="114300" wp14:anchorId="08807724" wp14:editId="43675786">
            <wp:extent cx="4600575" cy="2200910"/>
            <wp:effectExtent l="0" t="0" r="9525"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4600575" cy="2200910"/>
                    </a:xfrm>
                    <a:prstGeom prst="rect">
                      <a:avLst/>
                    </a:prstGeom>
                  </pic:spPr>
                </pic:pic>
              </a:graphicData>
            </a:graphic>
          </wp:inline>
        </w:drawing>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4</w:t>
      </w:r>
      <w:r>
        <w:fldChar w:fldCharType="end"/>
      </w:r>
      <w:r>
        <w:rPr>
          <w:rFonts w:hint="eastAsia"/>
          <w:lang w:eastAsia="zh-CN"/>
        </w:rPr>
        <w:t xml:space="preserve"> </w:t>
      </w:r>
      <w:r w:rsidR="009B12A6">
        <w:rPr>
          <w:rFonts w:hint="eastAsia"/>
          <w:lang w:eastAsia="zh-CN"/>
        </w:rPr>
        <w:t>设备示意图</w:t>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B0CC6B8" w14:textId="77777777" w:rsidR="000A1692" w:rsidRDefault="00000000">
      <w:pPr>
        <w:ind w:firstLineChars="0" w:firstLine="0"/>
        <w:jc w:val="center"/>
        <w:rPr>
          <w:lang w:eastAsia="zh" w:bidi="ar"/>
        </w:rPr>
      </w:pPr>
      <m:oMath>
        <m:r>
          <w:rPr>
            <w:rFonts w:ascii="Cambria Math" w:hAnsi="Cambria Math"/>
            <w:lang w:eastAsia="zh" w:bidi="ar"/>
          </w:rPr>
          <m:t>RT-CV=SD</m:t>
        </m:r>
        <m:d>
          <m:dPr>
            <m:ctrlPr>
              <w:rPr>
                <w:rFonts w:ascii="Cambria Math" w:hAnsi="Cambria Math"/>
                <w:i/>
                <w:lang w:eastAsia="zh" w:bidi="ar"/>
              </w:rPr>
            </m:ctrlPr>
          </m:dPr>
          <m:e>
            <m:r>
              <w:rPr>
                <w:rFonts w:ascii="Cambria Math" w:hAnsi="Cambria Math"/>
                <w:lang w:eastAsia="zh" w:bidi="ar"/>
              </w:rPr>
              <m:t>RT</m:t>
            </m: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w:rPr>
                <w:rFonts w:ascii="Cambria Math" w:hAnsi="Cambria Math"/>
                <w:lang w:eastAsia="zh" w:bidi="ar"/>
              </w:rPr>
              <m:t>RT</m:t>
            </m:r>
          </m:e>
        </m:d>
      </m:oMath>
      <w:r>
        <w:rPr>
          <w:rFonts w:hint="eastAsia"/>
          <w:noProof/>
          <w:lang w:eastAsia="zh" w:bidi="ar"/>
        </w:rPr>
        <w:drawing>
          <wp:inline distT="0" distB="0" distL="114300" distR="114300" wp14:anchorId="154F6846" wp14:editId="225FFE01">
            <wp:extent cx="5273040" cy="2045970"/>
            <wp:effectExtent l="0" t="0" r="3810" b="1143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9"/>
                    <a:stretch>
                      <a:fillRect/>
                    </a:stretch>
                  </pic:blipFill>
                  <pic:spPr>
                    <a:xfrm>
                      <a:off x="0" y="0"/>
                      <a:ext cx="5273040" cy="2045970"/>
                    </a:xfrm>
                    <a:prstGeom prst="rect">
                      <a:avLst/>
                    </a:prstGeom>
                  </pic:spPr>
                </pic:pic>
              </a:graphicData>
            </a:graphic>
          </wp:inline>
        </w:drawing>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1A0C">
        <w:rPr>
          <w:noProof/>
        </w:rPr>
        <w:t>5</w:t>
      </w:r>
      <w:r>
        <w:fldChar w:fldCharType="end"/>
      </w:r>
      <w:r>
        <w:rPr>
          <w:rFonts w:hint="eastAsia"/>
          <w:lang w:eastAsia="zh-CN"/>
        </w:rPr>
        <w:t xml:space="preserve"> YOLO</w:t>
      </w:r>
      <w:r>
        <w:rPr>
          <w:rFonts w:hint="eastAsia"/>
          <w:lang w:eastAsia="zh-CN"/>
        </w:rPr>
        <w:t>眼部</w:t>
      </w:r>
      <w:r>
        <w:rPr>
          <w:rFonts w:hint="eastAsia"/>
          <w:lang w:eastAsia="zh-CN"/>
        </w:rPr>
        <w:t>ROI</w:t>
      </w:r>
      <w:r>
        <w:rPr>
          <w:rFonts w:hint="eastAsia"/>
          <w:lang w:eastAsia="zh-CN"/>
        </w:rPr>
        <w:t>划区和</w:t>
      </w:r>
      <w:r>
        <w:rPr>
          <w:rFonts w:hint="eastAsia"/>
          <w:lang w:eastAsia="zh-CN"/>
        </w:rPr>
        <w:t>RITnet</w:t>
      </w:r>
      <w:r>
        <w:rPr>
          <w:rFonts w:hint="eastAsia"/>
          <w:lang w:eastAsia="zh-CN"/>
        </w:rPr>
        <w:t>四分类</w:t>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Pr>
          <w:noProof/>
          <w:lang w:eastAsia="zh-CN"/>
        </w:rPr>
        <w:t>6</w:t>
      </w:r>
      <w:r>
        <w:fldChar w:fldCharType="end"/>
      </w:r>
      <w:r>
        <w:rPr>
          <w:rFonts w:hint="eastAsia"/>
          <w:lang w:eastAsia="zh-CN"/>
        </w:rPr>
        <w:t xml:space="preserve"> </w:t>
      </w:r>
      <w:r w:rsidRPr="00F07D05">
        <w:rPr>
          <w:rFonts w:hint="eastAsia"/>
          <w:lang w:eastAsia="zh-CN"/>
        </w:rPr>
        <w:t>正确</w:t>
      </w:r>
      <w:r>
        <w:rPr>
          <w:rFonts w:hint="eastAsia"/>
          <w:lang w:eastAsia="zh-CN"/>
        </w:rPr>
        <w:t>Go</w:t>
      </w:r>
      <w:r>
        <w:rPr>
          <w:rFonts w:hint="eastAsia"/>
          <w:lang w:eastAsia="zh-CN"/>
        </w:rPr>
        <w:t>试次反应时</w:t>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7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8。</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8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9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10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3 名同时佩戴 ECG 与呼吸带的参与者在 60 个探针前 30 s 窗口上核验当前估计器；三名被试为定向选择，覆盖此前发现的锁半频与数据空洞问题类型，因此该对照用于核验完整链对锁半频的纠正与误差量级，不构成对全部正式场次精度的无偏估计。25 s 融合心率估计的窗口级 MAE 为 9.02 bpm，中位绝对误差 5.15 bpm，锁半频窗口占 2%；分被试 MAE 为 7.56、6.47 与 17.92 bpm，其中误差最高的一名存在已知帧空洞（窗口内连续帧缺失），其高误差主要反映源数据质量。呼吸频率的 MAE 为 2.44 次/分，中位绝对误差 0.87 次/分，锁半频窗口占 8%。融合心率相对 ECG 呈约 4–6 bpm 的系统性低估，偏差方向有待更大样本确认。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11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单被试 5 场次的金标准对照曾发现，呼吸谐波落入心搏频带时可形成“强而错”的锁定：质量门控（心搏带信噪比、相位稳定性、时频差）全部通过而心率仍锁半频。当前融合估计以时域峰间隔与频域谱峰两路估计的融合纠正该问题：在上述 60 窗对照中，频域一路单独估计的 MAE 为 12.7–16.1 bpm，融合后降至 9.0–11.4 bpm；其中一名此前锁半频最严重的参与者，本次 25 s 融合估计的中位绝对误差为 1.13 bpm，锁半频窗口为 0。逐搏层面的对照显示，±75 ms 容差下逐搏识别的灵敏度为 0.170、精确率为 0.211，尚不足以支持逐搏间期与心率变异性指标的解释，因此本报告不报告相关结果。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12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pPr>
        <w:spacing w:line="360" w:lineRule="auto"/>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pPr>
        <w:spacing w:line="360" w:lineRule="auto"/>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13）。运动能量、曝光变化与 Q1 注意内容、Q2 警觉程度及近期行为指标的关联中，各系数 95% CI 均包含 0；与毫米波运动代理、心率与呼吸频率的窗口级对照同样未出现 95% CI 不含 0 的关联。</w:t>
      </w:r>
    </w:p>
    <w:p>
      <w:pPr>
        <w:jc w:val="center"/>
      </w:pPr>
      <w:r>
        <w:drawing>
          <wp:inline xmlns:a="http://schemas.openxmlformats.org/drawingml/2006/main" xmlns:pic="http://schemas.openxmlformats.org/drawingml/2006/picture">
            <wp:extent cx="4860000" cy="4244778"/>
            <wp:docPr id="1688596208" name="Picture 1688596208"/>
            <wp:cNvGraphicFramePr>
              <a:graphicFrameLocks noChangeAspect="1"/>
            </wp:cNvGraphicFramePr>
            <a:graphic>
              <a:graphicData uri="http://schemas.openxmlformats.org/drawingml/2006/picture">
                <pic:pic>
                  <pic:nvPicPr>
                    <pic:cNvPr id="0" name="fig_55_1_motion_exposure.png"/>
                    <pic:cNvPicPr/>
                  </pic:nvPicPr>
                  <pic:blipFill>
                    <a:blip r:embed="rId80"/>
                    <a:stretch>
                      <a:fillRect/>
                    </a:stretch>
                  </pic:blipFill>
                  <pic:spPr>
                    <a:xfrm>
                      <a:off x="0" y="0"/>
                      <a:ext cx="4860000" cy="4244778"/>
                    </a:xfrm>
                    <a:prstGeom prst="rect"/>
                  </pic:spPr>
                </pic:pic>
              </a:graphicData>
            </a:graphic>
          </wp:inline>
        </w:drawing>
      </w:r>
    </w:p>
    <w:p>
      <w:pPr>
        <w:jc w:val="center"/>
      </w:pPr>
      <w:r>
        <w:rPr>
          <w:rFonts w:ascii="Times New Roman" w:hAnsi="Times New Roman" w:eastAsia="宋体"/>
          <w:b/>
          <w:sz w:val="21"/>
        </w:rPr>
        <w:t>图 13 RGB 运动能量与曝光变化的任务进程</w:t>
      </w:r>
    </w:p>
    <w:p>
      <w:pPr>
        <w:jc w:val="center"/>
      </w:pPr>
      <w:r>
        <w:rPr>
          <w:rFonts w:ascii="Times New Roman" w:hAnsi="Times New Roman" w:eastAsia="宋体"/>
          <w:b w:val="0"/>
          <w:sz w:val="18"/>
        </w:rPr>
        <w:t>注：A、B 为运动能量与曝光变化的 B1/B2 配对；C、D 为 Block×cycle 轨迹（参与者均值 ± 标准误）。</w:t>
      </w:r>
    </w:p>
    <w:p w14:paraId="5C4E4C6D" w14:textId="77777777" w:rsidR="000A1692" w:rsidRDefault="00000000">
      <w:pPr>
        <w:pStyle w:val="4"/>
      </w:pPr>
      <w:r>
        <w:t xml:space="preserve">5.5.2 </w:t>
      </w:r>
      <w:r>
        <w:t>姿态与方向性运动</w:t>
      </w:r>
    </w:p>
    <w:p>
      <w:pPr>
        <w:spacing w:line="360" w:lineRule="auto"/>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pPr>
        <w:jc w:val="center"/>
      </w:pPr>
      <w:r>
        <w:drawing>
          <wp:inline xmlns:a="http://schemas.openxmlformats.org/drawingml/2006/main" xmlns:pic="http://schemas.openxmlformats.org/drawingml/2006/picture">
            <wp:extent cx="4860000" cy="1824512"/>
            <wp:docPr id="1688596209" name="Picture 1688596209"/>
            <wp:cNvGraphicFramePr>
              <a:graphicFrameLocks noChangeAspect="1"/>
            </wp:cNvGraphicFramePr>
            <a:graphic>
              <a:graphicData uri="http://schemas.openxmlformats.org/drawingml/2006/picture">
                <pic:pic>
                  <pic:nvPicPr>
                    <pic:cNvPr id="0" name="fig_55_2_pose_direction.png"/>
                    <pic:cNvPicPr/>
                  </pic:nvPicPr>
                  <pic:blipFill>
                    <a:blip r:embed="rId81"/>
                    <a:stretch>
                      <a:fillRect/>
                    </a:stretch>
                  </pic:blipFill>
                  <pic:spPr>
                    <a:xfrm>
                      <a:off x="0" y="0"/>
                      <a:ext cx="4860000" cy="1824512"/>
                    </a:xfrm>
                    <a:prstGeom prst="rect"/>
                  </pic:spPr>
                </pic:pic>
              </a:graphicData>
            </a:graphic>
          </wp:inline>
        </w:drawing>
      </w:r>
    </w:p>
    <w:p>
      <w:pPr>
        <w:jc w:val="center"/>
      </w:pPr>
      <w:r>
        <w:rPr>
          <w:rFonts w:ascii="Times New Roman" w:hAnsi="Times New Roman" w:eastAsia="宋体"/>
          <w:b/>
          <w:sz w:val="21"/>
        </w:rPr>
        <w:t>图 14 RGB 姿态方向候选的分布</w:t>
      </w:r>
    </w:p>
    <w:p>
      <w:pPr>
        <w:jc w:val="center"/>
      </w:pPr>
      <w:r>
        <w:rPr>
          <w:rFonts w:ascii="Times New Roman" w:hAnsi="Times New Roman" w:eastAsia="宋体"/>
          <w:b w:val="0"/>
          <w:sz w:val="18"/>
        </w:rPr>
        <w:t>注：左右、上下方向运动与复合前后方向候选（图像内无量纲）在探针前窗口的分布。</w:t>
      </w:r>
    </w:p>
    <w:p w14:paraId="4C273DE5" w14:textId="77777777" w:rsidR="000A1692" w:rsidRDefault="00000000">
      <w:pPr>
        <w:pStyle w:val="4"/>
      </w:pPr>
      <w:r>
        <w:rPr>
          <w:rFonts w:hint="eastAsia"/>
        </w:rPr>
        <w:t xml:space="preserve">5.5.3 </w:t>
      </w:r>
      <w:r>
        <w:rPr>
          <w:rFonts w:hint="eastAsia"/>
        </w:rPr>
        <w:t>眨眼候选事件</w:t>
      </w:r>
    </w:p>
    <w:p>
      <w:pPr>
        <w:spacing w:line="360" w:lineRule="auto"/>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pPr>
        <w:spacing w:line="360" w:lineRule="auto"/>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jc w:val="center"/>
      </w:pPr>
      <w:r>
        <w:drawing>
          <wp:inline xmlns:a="http://schemas.openxmlformats.org/drawingml/2006/main" xmlns:pic="http://schemas.openxmlformats.org/drawingml/2006/picture">
            <wp:extent cx="4860000" cy="1835910"/>
            <wp:docPr id="1688596210" name="Picture 1688596210"/>
            <wp:cNvGraphicFramePr>
              <a:graphicFrameLocks noChangeAspect="1"/>
            </wp:cNvGraphicFramePr>
            <a:graphic>
              <a:graphicData uri="http://schemas.openxmlformats.org/drawingml/2006/picture">
                <pic:pic>
                  <pic:nvPicPr>
                    <pic:cNvPr id="0" name="fig_55_3_blink_events.png"/>
                    <pic:cNvPicPr/>
                  </pic:nvPicPr>
                  <pic:blipFill>
                    <a:blip r:embed="rId82"/>
                    <a:stretch>
                      <a:fillRect/>
                    </a:stretch>
                  </pic:blipFill>
                  <pic:spPr>
                    <a:xfrm>
                      <a:off x="0" y="0"/>
                      <a:ext cx="4860000" cy="1835910"/>
                    </a:xfrm>
                    <a:prstGeom prst="rect"/>
                  </pic:spPr>
                </pic:pic>
              </a:graphicData>
            </a:graphic>
          </wp:inline>
        </w:drawing>
      </w:r>
    </w:p>
    <w:p>
      <w:pPr>
        <w:jc w:val="center"/>
      </w:pPr>
      <w:r>
        <w:rPr>
          <w:rFonts w:ascii="Times New Roman" w:hAnsi="Times New Roman" w:eastAsia="宋体"/>
          <w:b/>
          <w:sz w:val="21"/>
        </w:rPr>
        <w:t>图 15 RGB 眨眼候选事件的分布</w:t>
      </w:r>
    </w:p>
    <w:p>
      <w:pPr>
        <w:jc w:val="center"/>
      </w:pPr>
      <w:r>
        <w:rPr>
          <w:rFonts w:ascii="Times New Roman" w:hAnsi="Times New Roman" w:eastAsia="宋体"/>
          <w:b w:val="0"/>
          <w:sz w:val="18"/>
        </w:rPr>
        <w:t>注：A、B、C 分别为眨眼候选事件场次级频率、时长与间隔分布；数据覆盖见图 16。</w:t>
      </w:r>
    </w:p>
    <w:p>
      <w:pPr>
        <w:jc w:val="center"/>
      </w:pPr>
      <w:r>
        <w:drawing>
          <wp:inline xmlns:a="http://schemas.openxmlformats.org/drawingml/2006/main" xmlns:pic="http://schemas.openxmlformats.org/drawingml/2006/picture">
            <wp:extent cx="4860000" cy="2378830"/>
            <wp:docPr id="1688596211" name="Picture 1688596211"/>
            <wp:cNvGraphicFramePr>
              <a:graphicFrameLocks noChangeAspect="1"/>
            </wp:cNvGraphicFramePr>
            <a:graphic>
              <a:graphicData uri="http://schemas.openxmlformats.org/drawingml/2006/picture">
                <pic:pic>
                  <pic:nvPicPr>
                    <pic:cNvPr id="0" name="fig_55_4_coverage.png"/>
                    <pic:cNvPicPr/>
                  </pic:nvPicPr>
                  <pic:blipFill>
                    <a:blip r:embed="rId83"/>
                    <a:stretch>
                      <a:fillRect/>
                    </a:stretch>
                  </pic:blipFill>
                  <pic:spPr>
                    <a:xfrm>
                      <a:off x="0" y="0"/>
                      <a:ext cx="4860000" cy="2378830"/>
                    </a:xfrm>
                    <a:prstGeom prst="rect"/>
                  </pic:spPr>
                </pic:pic>
              </a:graphicData>
            </a:graphic>
          </wp:inline>
        </w:drawing>
      </w:r>
    </w:p>
    <w:p>
      <w:pPr>
        <w:jc w:val="center"/>
      </w:pPr>
      <w:r>
        <w:rPr>
          <w:rFonts w:ascii="Times New Roman" w:hAnsi="Times New Roman" w:eastAsia="宋体"/>
          <w:b/>
          <w:sz w:val="21"/>
        </w:rPr>
        <w:t>图 16 RGB 各分析轨道的场次级可观测覆盖</w:t>
      </w:r>
    </w:p>
    <w:p>
      <w:pPr>
        <w:jc w:val="center"/>
      </w:pPr>
      <w:r>
        <w:rPr>
          <w:rFonts w:ascii="Times New Roman" w:hAnsi="Times New Roman" w:eastAsia="宋体"/>
          <w:b w:val="0"/>
          <w:sz w:val="18"/>
        </w:rPr>
        <w:t>注：运动、曝光、肩部、左右眼与双眼一致性六轨的场次级可观测帧比例。</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14:paraId="27BA8F53" w14:textId="77777777" w:rsidR="000A1692" w:rsidRDefault="00000000">
      <w:pPr>
        <w:pStyle w:val="4"/>
      </w:pPr>
      <w:r>
        <w:t xml:space="preserve">5.6.2 </w:t>
      </w:r>
      <w:r>
        <w:t>单模态、双模态与完整多模态增量</w:t>
      </w:r>
    </w:p>
    <w:p w14:paraId="16845489" w14:textId="77777777" w:rsidR="000A1692" w:rsidRDefault="00000000">
      <w:pPr>
        <w:pStyle w:val="4"/>
      </w:pPr>
      <w:r>
        <w:t xml:space="preserve">5.6.3 </w:t>
      </w:r>
      <w:r>
        <w:t>模态互补、平均边际贡献与补充</w:t>
      </w:r>
      <w:r>
        <w:t xml:space="preserve"> AI </w:t>
      </w:r>
      <w:r>
        <w:t>融合</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 Id="rId80" Type="http://schemas.openxmlformats.org/officeDocument/2006/relationships/image" Target="media/image23.png"/><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