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9.png" ContentType="image/jpeg"/>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 1 不同大小的刺激呈现示例图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 2 预实验流程 (A) 各试验类型的时间结构与关键时间节点</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 3 实验流程 (B) 屏幕呈现的视觉刺激序列</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pPr>
        <w:jc w:val="center"/>
      </w:pPr>
      <w:r>
        <w:rPr>
          <w:rFonts w:ascii="Times New Roman" w:hAnsi="Times New Roman" w:eastAsia="宋体"/>
          <w:b/>
          <w:sz w:val="21"/>
        </w:rPr>
        <w:t>图 4 实验任务界面示例</w:t>
      </w:r>
    </w:p>
    <w:p>
      <w:pPr>
        <w:jc w:val="center"/>
      </w:pPr>
      <w:r>
        <w:rPr>
          <w:rFonts w:ascii="Times New Roman" w:hAnsi="Times New Roman" w:eastAsia="宋体"/>
          <w:b w:val="0"/>
          <w:sz w:val="18"/>
        </w:rPr>
        <w:t>注：任务界面以“榨汁大师”游戏情境呈现 SART 刺激。</w:t>
      </w:r>
    </w:p>
    <w:p w14:paraId="0606BFAF" w14:textId="77777777" w:rsidR="000A1692" w:rsidRDefault="00000000">
      <w:pPr>
        <w:ind w:firstLineChars="0" w:firstLine="0"/>
        <w:jc w:val="center"/>
        <w:rPr>
          <w:lang w:bidi="ar"/>
        </w:rPr>
      </w:pPr>
      <w:r>
        <w:drawing>
          <wp:inline xmlns:a="http://schemas.openxmlformats.org/drawingml/2006/main" xmlns:pic="http://schemas.openxmlformats.org/drawingml/2006/picture">
            <wp:extent cx="3240000" cy="2428138"/>
            <wp:docPr id="1688596212" name="Picture 1688596212"/>
            <wp:cNvGraphicFramePr>
              <a:graphicFrameLocks noChangeAspect="1"/>
            </wp:cNvGraphicFramePr>
            <a:graphic>
              <a:graphicData uri="http://schemas.openxmlformats.org/drawingml/2006/picture">
                <pic:pic>
                  <pic:nvPicPr>
                    <pic:cNvPr id="0" name="para_110_masked.jpeg"/>
                    <pic:cNvPicPr/>
                  </pic:nvPicPr>
                  <pic:blipFill>
                    <a:blip r:embed="rId84"/>
                    <a:stretch>
                      <a:fillRect/>
                    </a:stretch>
                  </pic:blipFill>
                  <pic:spPr>
                    <a:xfrm>
                      <a:off x="0" y="0"/>
                      <a:ext cx="3240000" cy="2428138"/>
                    </a:xfrm>
                    <a:prstGeom prst="rect"/>
                  </pic:spPr>
                </pic:pic>
              </a:graphicData>
            </a:graphic>
          </wp:inline>
        </w:drawing>
      </w:r>
    </w:p>
    <w:p>
      <w:pPr>
        <w:jc w:val="center"/>
      </w:pPr>
      <w:r>
        <w:rPr>
          <w:rFonts w:ascii="Times New Roman" w:hAnsi="Times New Roman" w:eastAsia="宋体"/>
          <w:b/>
          <w:sz w:val="21"/>
        </w:rPr>
        <w:t>图 5 实验场景示例</w:t>
      </w:r>
    </w:p>
    <w:p>
      <w:pPr>
        <w:jc w:val="center"/>
      </w:pPr>
      <w:r>
        <w:rPr>
          <w:rFonts w:ascii="Times New Roman" w:hAnsi="Times New Roman" w:eastAsia="宋体"/>
          <w:b w:val="0"/>
          <w:sz w:val="18"/>
        </w:rPr>
        <w:t>注：被试与多模态采集设备布置示意；图中人脸已作匿名化处理。</w:t>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pPr>
        <w:jc w:val="center"/>
      </w:pPr>
      <w:r>
        <w:drawing>
          <wp:inline xmlns:a="http://schemas.openxmlformats.org/drawingml/2006/main" xmlns:pic="http://schemas.openxmlformats.org/drawingml/2006/picture">
            <wp:extent cx="5040000" cy="4041140"/>
            <wp:docPr id="1688596214" name="Picture 1688596214"/>
            <wp:cNvGraphicFramePr>
              <a:graphicFrameLocks noChangeAspect="1"/>
            </wp:cNvGraphicFramePr>
            <a:graphic>
              <a:graphicData uri="http://schemas.openxmlformats.org/drawingml/2006/picture">
                <pic:pic>
                  <pic:nvPicPr>
                    <pic:cNvPr id="0" name="f02-timeline.png"/>
                    <pic:cNvPicPr/>
                  </pic:nvPicPr>
                  <pic:blipFill>
                    <a:blip r:embed="rId86"/>
                    <a:stretch>
                      <a:fillRect/>
                    </a:stretch>
                  </pic:blipFill>
                  <pic:spPr>
                    <a:xfrm>
                      <a:off x="0" y="0"/>
                      <a:ext cx="5040000" cy="4041140"/>
                    </a:xfrm>
                    <a:prstGeom prst="rect"/>
                  </pic:spPr>
                </pic:pic>
              </a:graphicData>
            </a:graphic>
          </wp:inline>
        </w:drawing>
      </w:r>
    </w:p>
    <w:p>
      <w:pPr>
        <w:jc w:val="center"/>
      </w:pPr>
      <w:r>
        <w:rPr>
          <w:rFonts w:ascii="Times New Roman" w:hAnsi="Times New Roman" w:eastAsia="宋体"/>
          <w:b/>
          <w:sz w:val="21"/>
        </w:rPr>
        <w:t>图 6 正式实验范式与时间轴</w:t>
      </w:r>
    </w:p>
    <w:p>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 7 设备示意图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sidR="009B12A6">
        <w:rPr>
          <w:rFonts w:hint="eastAsia"/>
          <w:lang w:eastAsia="zh-CN"/>
        </w:rPr>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 8 YOLO眼部ROI划区和RITnet四分类</w:t>
      </w:r>
      <w:r>
        <w:rPr>
          <w:rFonts w:hint="eastAsia"/>
        </w:rPr>
      </w:r>
      <w:r/>
      <w:r/>
      <w:r>
        <w:rPr>
          <w:rFonts w:hint="eastAsia"/>
        </w:rPr>
      </w:r>
      <w:r>
        <w:rPr>
          <w:rFonts w:hint="eastAsia"/>
        </w:rPr>
      </w:r>
      <w:r>
        <w:rPr>
          <w:rFonts w:hint="eastAsia"/>
        </w:rPr>
      </w:r>
      <w:r/>
      <w:r/>
      <w:r w:rsidR="00611A0C">
        <w:rPr>
          <w:noProof/>
        </w:rPr>
      </w: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 9 正确Go试次反应时</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Pr>
          <w:noProof/>
          <w:lang w:eastAsia="zh-CN"/>
        </w:rPr>
      </w:r>
      <w:r/>
      <w:r>
        <w:rPr>
          <w:rFonts w:hint="eastAsia"/>
          <w:lang w:eastAsia="zh-CN"/>
        </w:rPr>
      </w:r>
      <w:r w:rsidRPr="00F07D05">
        <w:rPr>
          <w:rFonts w:hint="eastAsia"/>
          <w:lang w:eastAsia="zh-CN"/>
        </w:rPr>
      </w:r>
      <w:r>
        <w:rPr>
          <w:rFonts w:hint="eastAsia"/>
          <w:lang w:eastAsia="zh-CN"/>
        </w:rPr>
      </w:r>
      <w:r>
        <w:rPr>
          <w:rFonts w:hint="eastAsia"/>
          <w:lang w:eastAsia="zh-CN"/>
        </w:rPr>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pPr>
        <w:jc w:val="center"/>
      </w:pPr>
      <w:r>
        <w:rPr>
          <w:rFonts w:ascii="Times New Roman" w:hAnsi="Times New Roman" w:eastAsia="宋体"/>
          <w:b/>
          <w:sz w:val="21"/>
        </w:rPr>
        <w:t>图 10 RT-CV 的任务时间进程</w:t>
      </w:r>
    </w:p>
    <w:p>
      <w:pPr>
        <w:jc w:val="center"/>
      </w:pPr>
      <w:r>
        <w:rPr>
          <w:rFonts w:ascii="Times New Roman" w:hAnsi="Times New Roman" w:eastAsia="宋体"/>
          <w:b w:val="0"/>
          <w:sz w:val="18"/>
        </w:rPr>
        <w:t>注：A 为 B1/B2 的场次配对均值；B 为 Block×cycle 的 RT-CV 轨迹（误差线为 95% CI）。</w:t>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11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12。</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12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13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14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15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16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17）。运动能量、曝光变化与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17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18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19 RGB 眨眼候选事件的分布</w:t>
      </w:r>
    </w:p>
    <w:p>
      <w:pPr>
        <w:jc w:val="center"/>
      </w:pPr>
      <w:r>
        <w:rPr>
          <w:rFonts w:ascii="Times New Roman" w:hAnsi="Times New Roman" w:eastAsia="宋体"/>
          <w:b w:val="0"/>
          <w:sz w:val="18"/>
        </w:rPr>
        <w:t>注：A、B、C 分别为眨眼候选事件场次级频率、时长与间隔分布；数据覆盖见图 20。</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20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21）。相对基准的逐折配对差异以折为观测进行参与者级重抽样获得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pPr>
        <w:jc w:val="center"/>
      </w:pPr>
      <w:r>
        <w:drawing>
          <wp:inline xmlns:a="http://schemas.openxmlformats.org/drawingml/2006/main" xmlns:pic="http://schemas.openxmlformats.org/drawingml/2006/picture">
            <wp:extent cx="5220000" cy="2158158"/>
            <wp:docPr id="1688596213" name="Picture 1688596213"/>
            <wp:cNvGraphicFramePr>
              <a:graphicFrameLocks noChangeAspect="1"/>
            </wp:cNvGraphicFramePr>
            <a:graphic>
              <a:graphicData uri="http://schemas.openxmlformats.org/drawingml/2006/picture">
                <pic:pic>
                  <pic:nvPicPr>
                    <pic:cNvPr id="0" name="incremental_forest_56.png"/>
                    <pic:cNvPicPr/>
                  </pic:nvPicPr>
                  <pic:blipFill>
                    <a:blip r:embed="rId85"/>
                    <a:stretch>
                      <a:fillRect/>
                    </a:stretch>
                  </pic:blipFill>
                  <pic:spPr>
                    <a:xfrm>
                      <a:off x="0" y="0"/>
                      <a:ext cx="5220000" cy="2158158"/>
                    </a:xfrm>
                    <a:prstGeom prst="rect"/>
                  </pic:spPr>
                </pic:pic>
              </a:graphicData>
            </a:graphic>
          </wp:inline>
        </w:drawing>
      </w:r>
    </w:p>
    <w:p>
      <w:pPr>
        <w:jc w:val="center"/>
      </w:pPr>
      <w:r>
        <w:rPr>
          <w:rFonts w:ascii="Times New Roman" w:hAnsi="Times New Roman" w:eastAsia="宋体"/>
          <w:b/>
          <w:sz w:val="21"/>
        </w:rPr>
        <w:t>图 21 各模态组合相对行为基准的 ROC-AUC 增量</w:t>
      </w:r>
    </w:p>
    <w:p>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pPr>
        <w:pStyle w:val="2"/>
      </w:pPr>
      <w:r>
        <w:t>7 特色与创新</w:t>
      </w:r>
    </w:p>
    <w:p>
      <w:pPr>
        <w:spacing w:line="360" w:lineRule="auto"/>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jpeg"/><Relationship Id="rId85" Type="http://schemas.openxmlformats.org/officeDocument/2006/relationships/image" Target="media/image28.png"/><Relationship Id="rId8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