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br w:type="page"/>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 FocusWave 多模态持续注意测评框架，以游戏化持续性注意反应任务为统一测量情境，通过两阶段预实验确定正式任务的负荷水平、刺激序列、任务时长与思维探针设计。正式实验包含两个结构相同的任务 Block，共 864 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Bosch &amp; D'Mello, 2021）。因此，持续注意的客观测量需要在连续性、使用负担、隐私以及构念解释之间取得平衡，而不能简单将某一传感器输出直接视为注意状态本身。</w:t>
      </w:r>
    </w:p>
    <w:p w14:paraId="11FF0F5D">
      <w:pPr>
        <w:ind w:firstLine="420"/>
        <w:rPr>
          <w:lang w:eastAsia="zh"/>
        </w:rPr>
      </w:pPr>
      <w:r>
        <w:rPr>
          <w:lang w:eastAsia="zh"/>
        </w:rPr>
        <w:t>毫米波（millimeter-wave, mmWave）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Paterniani et al., 2023），也证明商用毫米波设备能够在特定实验条件下估计心搏间期和心率变异性（Wang et al., 2021）。此外，毫米波还可用于识别眨眼、点头、打哈欠和腿部运动等与专注状态可能相关的外显活动（Ge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雷达已经获得了对持续注意构念的效度证据。将毫米波进一步发展为注意状态测评手段，因而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14:paraId="4A9DBBBD">
      <w:pPr>
        <w:pStyle w:val="4"/>
        <w:rPr>
          <w:lang w:eastAsia="zh"/>
        </w:rPr>
      </w:pPr>
      <w:r>
        <w:rPr>
          <w:rFonts w:hint="eastAsia"/>
          <w:lang w:eastAsia="zh"/>
        </w:rPr>
        <w:t xml:space="preserve">2.4 </w:t>
      </w:r>
      <w:r>
        <w:rPr>
          <w:lang w:eastAsia="zh"/>
        </w:rPr>
        <w:t>现有测评技术与毫米波感知</w:t>
      </w:r>
    </w:p>
    <w:p w14:paraId="6A59C49E">
      <w:pPr>
        <w:ind w:firstLine="420" w:firstLineChars="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w:t>
      </w:r>
      <w:r>
        <w:rPr>
          <w:rFonts w:hint="eastAsia"/>
          <w:lang w:eastAsia="zh-CN"/>
        </w:rPr>
        <w:t>受</w:t>
      </w:r>
      <w:r>
        <w:rPr>
          <w:lang w:eastAsia="zh"/>
        </w:rPr>
        <w:t>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14:paraId="33598B6B">
      <w:pPr>
        <w:ind w:firstLine="420" w:firstLineChars="0"/>
        <w:rPr>
          <w:lang w:eastAsia="zh"/>
        </w:rPr>
      </w:pPr>
      <w:r>
        <w:rPr>
          <w:lang w:eastAsia="zh"/>
        </w:rPr>
        <w:t>因此，现有测评路线更适合按“能够观察什么”和“主要受什么限制”来比较。主观与行为测量最接近任务表现和自我体验，却具有离散采样和报告偏差；接触式神经生理测量时间连续性较高，但增</w:t>
      </w:r>
      <w:r>
        <w:rPr>
          <w:rFonts w:hint="eastAsia"/>
          <w:lang w:eastAsia="zh-CN"/>
        </w:rPr>
        <w:t>加了</w:t>
      </w:r>
      <w:r>
        <w:rPr>
          <w:lang w:eastAsia="zh"/>
        </w:rPr>
        <w:t>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pPr>
        <w:pStyle w:val="11"/>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rPr>
          <w:rFonts w:hint="eastAsia"/>
          <w:lang w:eastAsia="zh-CN"/>
        </w:rPr>
        <w:t xml:space="preserve">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14:paraId="1E556E97">
      <w:pPr>
        <w:ind w:firstLine="420" w:firstLineChars="0"/>
        <w:rPr>
          <w:lang w:eastAsia="zh"/>
        </w:rPr>
      </w:pPr>
    </w:p>
    <w:p w14:paraId="620A20A9">
      <w:pPr>
        <w:ind w:firstLine="420" w:firstLineChars="0"/>
        <w:rPr>
          <w:lang w:eastAsia="zh"/>
        </w:rPr>
      </w:pPr>
      <w:r>
        <w:rPr>
          <w:lang w:eastAsia="zh"/>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pPr>
        <w:ind w:firstLine="420" w:firstLineChars="0"/>
        <w:rPr>
          <w:lang w:eastAsia="zh"/>
        </w:rPr>
      </w:pPr>
      <w:r>
        <w:rPr>
          <w:lang w:eastAsia="zh"/>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7AF811A2">
      <w:pPr>
        <w:ind w:firstLine="420" w:firstLineChars="0"/>
        <w:rPr>
          <w:lang w:eastAsia="zh"/>
        </w:rPr>
      </w:pPr>
      <w:r>
        <w:rPr>
          <w:lang w:eastAsia="zh"/>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19C95EA1">
      <w:pPr>
        <w:ind w:firstLine="420" w:firstLineChars="0"/>
        <w:rPr>
          <w:lang w:eastAsia="zh"/>
        </w:rPr>
      </w:pPr>
      <w:r>
        <w:rPr>
          <w:lang w:eastAsia="zh"/>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pPr>
        <w:ind w:firstLine="420" w:firstLineChars="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人体感知设备”进一步用于持续注意测评时最关键的研究缺口。</w:t>
      </w:r>
    </w:p>
    <w:p w14:paraId="3C53F136">
      <w:pPr>
        <w:ind w:firstLine="420" w:firstLineChars="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pPr>
        <w:ind w:firstLine="420" w:firstLineChars="0"/>
        <w:rPr>
          <w:lang w:eastAsia="zh"/>
        </w:rPr>
      </w:pP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commentReference w:id="0"/>
      </w:r>
      <w:commentRangeEnd w:id="1"/>
      <w:r>
        <w:commentReference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commentReference w:id="2"/>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预实验第一阶段行为指标轨迹（占位编号）</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commentReference w:id="7"/>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预实验第二阶段行为指标轨迹（占位编号）</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commentReference w:id="9"/>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2</w:t>
      </w:r>
      <w:r>
        <w:fldChar w:fldCharType="end"/>
      </w:r>
      <w:r>
        <w:rPr>
          <w:rFonts w:hint="eastAsia"/>
          <w:lang w:eastAsia="zh-CN"/>
        </w:rPr>
        <w:t xml:space="preserve">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反应时分布（占位编号）</w:t>
      </w:r>
    </w:p>
    <w:p>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jc w:val="center"/>
      </w:pPr>
      <m:oMath>
        <m:r>
          <m:rPr/>
          <w:rPr>
            <w:rFonts w:ascii="Cambria Math" w:hAnsi="Cambria Math"/>
            <w:lang w:eastAsia="zh" w:bidi="ar"/>
          </w:rPr>
          <m:t>Y=0.2126R+0.7152G+0.0722B</m:t>
        </m:r>
      </m:oMath>
    </w:p>
    <w:p w14:paraId="057EC486">
      <w:pPr>
        <w:pStyle w:val="4"/>
      </w:pPr>
      <w:r>
        <w:t>4.5.4 毫米波心肺相关活动与身体微动</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3</w:t>
      </w:r>
      <w:r>
        <w:fldChar w:fldCharType="end"/>
      </w:r>
      <w:r>
        <w:rPr>
          <w:rFonts w:hint="eastAsia"/>
          <w:lang w:eastAsia="zh-CN"/>
        </w:rPr>
        <w:t xml:space="preserve">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 88.88），场次中位数的平均水平为 309.31 ms（</w:t>
      </w:r>
      <w:r>
        <w:rPr>
          <w:i/>
          <w:iCs/>
        </w:rPr>
        <w:t>SD</w:t>
      </w:r>
      <w:r>
        <w:t> = 116.06）。正确 Go RT 的标准差为 98.40 ms（</w:t>
      </w:r>
      <w:r>
        <w:rPr>
          <w:i/>
          <w:iCs/>
        </w:rPr>
        <w:t>SD</w:t>
      </w:r>
      <w:r>
        <w:t> = 63.63），RT-CV 为 0.3033（</w:t>
      </w:r>
      <w:r>
        <w:rPr>
          <w:i/>
          <w:iCs/>
        </w:rPr>
        <w:t>SD</w:t>
      </w:r>
      <w:r>
        <w:t> = 0.1371）。错误指标中，总 Go 遗漏率平均为 2.20%（</w:t>
      </w:r>
      <w:r>
        <w:rPr>
          <w:i/>
          <w:iCs/>
        </w:rPr>
        <w:t>SD</w:t>
      </w:r>
      <w:r>
        <w:t> = 5.08%），No-Go 误按率平均为 33.44%（</w:t>
      </w:r>
      <w:r>
        <w:rPr>
          <w:i/>
          <w:iCs/>
        </w:rPr>
        <w:t>SD</w:t>
      </w:r>
      <w:r>
        <w:t> = 18.02%）；信号检测辨别力 d′ 的场次均值为 2.93（</w:t>
      </w:r>
      <w:r>
        <w:rPr>
          <w:i/>
          <w:iCs/>
        </w:rPr>
        <w:t>SD</w:t>
      </w:r>
      <w:r>
        <w:t>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12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 0.0078，</w:t>
      </w:r>
      <w:r>
        <w:rPr>
          <w:i/>
          <w:iCs/>
        </w:rPr>
        <w:t>SE</w:t>
      </w:r>
      <w:r>
        <w:t> = 0.0023，95% CI [0.0033, 0.0122]；B2 的整体 RT-CV 亦高于 B1，</w:t>
      </w:r>
      <w:r>
        <w:rPr>
          <w:i/>
          <w:iCs/>
        </w:rPr>
        <w:t>B</w:t>
      </w:r>
      <w:r>
        <w:t> = 0.0292，95% CI [0.0022, 0.0562]。Block × cycle 交互项的 95% CI 包含 0。总体上，任务持续过程中的主要行为变化表现为反应时变异增加。完整 GEE 参数</w:t>
      </w:r>
      <w:commentRangeStart w:id="10"/>
      <w:r>
        <w:t>见附录 C</w:t>
      </w:r>
      <w:commentRangeEnd w:id="10"/>
      <w:r>
        <w:rPr>
          <w:rStyle w:val="27"/>
        </w:rPr>
        <w:commentReference w:id="10"/>
      </w:r>
      <w:r>
        <w:rPr>
          <w:rFonts w:hint="eastAsia"/>
        </w:rPr>
        <w:t>。</w:t>
      </w:r>
    </w:p>
    <w:p w14:paraId="3DEF8F52">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4</w:t>
      </w:r>
      <w:r>
        <w:fldChar w:fldCharType="end"/>
      </w:r>
      <w:r>
        <w:rPr>
          <w:rFonts w:hint="eastAsia"/>
          <w:lang w:eastAsia="zh-CN"/>
        </w:rPr>
        <w:t xml:space="preserve">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13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与 </w:t>
      </w:r>
      <w:r>
        <w:rPr>
          <w:i/>
          <w:iCs/>
        </w:rPr>
        <w:t>SEM</w:t>
      </w:r>
      <w:r>
        <w:t> 见附录 C。</w:t>
      </w:r>
      <w:commentRangeEnd w:id="11"/>
      <w:r>
        <w:rPr>
          <w:rStyle w:val="27"/>
        </w:rPr>
        <w:commentReference w:id="11"/>
      </w:r>
    </w:p>
    <w:p w14:paraId="40165893">
      <w:pPr>
        <w:pStyle w:val="5"/>
      </w:pPr>
      <w:r>
        <w:t>5.2.3 思维探针与近期行为</w:t>
      </w:r>
    </w:p>
    <w:p w14:paraId="3BE4D84E">
      <w:pPr>
        <w:ind w:firstLine="420"/>
      </w:pPr>
      <w:r>
        <w:t>116 个实验场次共获得 2,320 个思维探针记录，主分析采用探针前 30 s 行为窗口。Q1 的多项 Logistic 回归显示，No-Go 误按率每增加 1 个标准差，类别 2 和类别 3 相对于类别 1 的回归系数分别为 </w:t>
      </w:r>
      <w:r>
        <w:rPr>
          <w:i/>
          <w:iCs/>
        </w:rPr>
        <w:t>B</w:t>
      </w:r>
      <w:r>
        <w:t> = 0.598，95% CI [0.384, 0.812] 和 </w:t>
      </w:r>
      <w:r>
        <w:rPr>
          <w:i/>
          <w:iCs/>
        </w:rPr>
        <w:t>B</w:t>
      </w:r>
      <w:r>
        <w:t> = 0.729，95% CI [0.481, 0.976]；d′对应系数分别为 </w:t>
      </w:r>
      <w:r>
        <w:rPr>
          <w:i/>
          <w:iCs/>
        </w:rPr>
        <w:t>B</w:t>
      </w:r>
      <w:r>
        <w:t> = −0.448，95% CI [−0.700, −0.196] 和 </w:t>
      </w:r>
      <w:r>
        <w:rPr>
          <w:i/>
          <w:iCs/>
        </w:rPr>
        <w:t>B</w:t>
      </w:r>
      <w:r>
        <w:t> = −0.620，95% CI [−0.940, −0.300]。类别 4 与类别 1 的比较未呈现同样明确的关联。</w:t>
      </w:r>
    </w:p>
    <w:p w14:paraId="49FAB9D4">
      <w:pPr>
        <w:ind w:firstLine="420"/>
        <w:rPr>
          <w:rFonts w:hint="eastAsia"/>
        </w:rPr>
      </w:pPr>
      <w:r>
        <w:t>Q2 的有序 GEE 显示，No-Go 误按率（</w:t>
      </w:r>
      <w:r>
        <w:rPr>
          <w:i/>
          <w:iCs/>
        </w:rPr>
        <w:t>B</w:t>
      </w:r>
      <w:r>
        <w:t> = −0.299，95% CI [−0.397, −0.201]）、真遗漏率（</w:t>
      </w:r>
      <w:r>
        <w:rPr>
          <w:i/>
          <w:iCs/>
        </w:rPr>
        <w:t>B</w:t>
      </w:r>
      <w:r>
        <w:t> = −0.404，95% CI [−0.564, −0.244]）和 RT-CV（</w:t>
      </w:r>
      <w:r>
        <w:rPr>
          <w:i/>
          <w:iCs/>
        </w:rPr>
        <w:t>B</w:t>
      </w:r>
      <w:r>
        <w:t> = −0.232，95% CI [−0.340, −0.123]）与 Q2 等级呈负向关系，d′呈正向关系（</w:t>
      </w:r>
      <w:r>
        <w:rPr>
          <w:i/>
          <w:iCs/>
        </w:rPr>
        <w:t>B</w:t>
      </w:r>
      <w:r>
        <w:t>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5</w:t>
      </w:r>
      <w:r>
        <w:fldChar w:fldCharType="end"/>
      </w:r>
      <w:r>
        <w:rPr>
          <w:rFonts w:hint="eastAsia"/>
          <w:lang w:eastAsia="zh-CN"/>
        </w:rPr>
        <w:t xml:space="preserve">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distT="0" distB="0" distL="114300" distR="114300">
            <wp:extent cx="4859655" cy="4717415"/>
            <wp:effectExtent l="0" t="0" r="8890" b="0"/>
            <wp:docPr id="1688596198" name="Picture 16885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8" name="Picture 1688596198"/>
                    <pic:cNvPicPr>
                      <a:picLocks noChangeAspect="1"/>
                    </pic:cNvPicPr>
                  </pic:nvPicPr>
                  <pic:blipFill>
                    <a:blip r:embed="rId24"/>
                    <a:stretch>
                      <a:fillRect/>
                    </a:stretch>
                  </pic:blipFill>
                  <pic:spPr>
                    <a:xfrm>
                      <a:off x="0" y="0"/>
                      <a:ext cx="4860000" cy="4718030"/>
                    </a:xfrm>
                    <a:prstGeom prst="rect">
                      <a:avLst/>
                    </a:prstGeom>
                  </pic:spPr>
                </pic:pic>
              </a:graphicData>
            </a:graphic>
          </wp:inline>
        </w:drawing>
      </w:r>
    </w:p>
    <w:p w14:paraId="2F451786">
      <w:pPr>
        <w:jc w:val="center"/>
      </w:pPr>
      <w:r>
        <w:rPr>
          <w:rFonts w:ascii="Times New Roman" w:hAnsi="Times New Roman" w:eastAsia="宋体"/>
          <w:b/>
          <w:sz w:val="21"/>
        </w:rPr>
        <w:t>图 14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15。</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15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16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distT="0" distB="0" distL="114300" distR="114300">
            <wp:extent cx="4859655" cy="4430395"/>
            <wp:effectExtent l="0" t="0" r="8890" b="6350"/>
            <wp:docPr id="1688596203" name="Picture 168859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3" name="Picture 1688596203"/>
                    <pic:cNvPicPr>
                      <a:picLocks noChangeAspect="1"/>
                    </pic:cNvPicPr>
                  </pic:nvPicPr>
                  <pic:blipFill>
                    <a:blip r:embed="rId27"/>
                    <a:stretch>
                      <a:fillRect/>
                    </a:stretch>
                  </pic:blipFill>
                  <pic:spPr>
                    <a:xfrm>
                      <a:off x="0" y="0"/>
                      <a:ext cx="4860000" cy="4430788"/>
                    </a:xfrm>
                    <a:prstGeom prst="rect">
                      <a:avLst/>
                    </a:prstGeom>
                  </pic:spPr>
                </pic:pic>
              </a:graphicData>
            </a:graphic>
          </wp:inline>
        </w:drawing>
      </w:r>
    </w:p>
    <w:p w14:paraId="3E4C4352">
      <w:pPr>
        <w:jc w:val="center"/>
      </w:pPr>
      <w:r>
        <w:rPr>
          <w:rFonts w:ascii="Times New Roman" w:hAnsi="Times New Roman" w:eastAsia="宋体"/>
          <w:b/>
          <w:sz w:val="21"/>
        </w:rPr>
        <w:t>图 17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18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19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20）。运动能量、曝光变化与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20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21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22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23。</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23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24）。相对基准的逐折配对差异以折为观测进行参与者级重抽样获得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24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br w:type="page"/>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14:paraId="76BC5C3A">
      <w:pPr>
        <w:pStyle w:val="4"/>
        <w:rPr>
          <w:lang w:eastAsia="zh-CN"/>
        </w:rPr>
      </w:pPr>
      <w:r>
        <w:rPr>
          <w:rFonts w:hint="eastAsia"/>
          <w:lang w:eastAsia="zh-CN"/>
        </w:rPr>
        <w:t>参考文献</w:t>
      </w:r>
    </w:p>
    <w:p w14:paraId="5DCA9517">
      <w:pPr>
        <w:ind w:left="420" w:hanging="420" w:hangingChars="200"/>
        <w:jc w:val="left"/>
      </w:pPr>
      <w:r>
        <w:t>Bosch, N., &amp; D'Mello, S. K. (2021). Automatic detection of mind wandering from video in the lab and in the classroom. </w:t>
      </w:r>
      <w:r>
        <w:rPr>
          <w:i/>
          <w:iCs/>
        </w:rPr>
        <w:t>IEEE Transactions on Affective Computing, 12</w:t>
      </w:r>
      <w:r>
        <w:t>(4), 974–988. </w:t>
      </w:r>
      <w:r>
        <w:fldChar w:fldCharType="begin"/>
      </w:r>
      <w:r>
        <w:instrText xml:space="preserve"> HYPERLINK "https://doi.org/10.1109/TAFFC.2019.2908837" </w:instrText>
      </w:r>
      <w:r>
        <w:fldChar w:fldCharType="separate"/>
      </w:r>
      <w:r>
        <w:rPr>
          <w:rStyle w:val="25"/>
        </w:rPr>
        <w:t>https://doi.org/10.1109/TAFFC.2019.2908837</w:t>
      </w:r>
      <w:r>
        <w:rPr>
          <w:rStyle w:val="25"/>
        </w:rPr>
        <w:fldChar w:fldCharType="end"/>
      </w:r>
    </w:p>
    <w:p w14:paraId="3FC6761C">
      <w:pPr>
        <w:ind w:left="420" w:hanging="420" w:hangingChars="20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r>
        <w:fldChar w:fldCharType="begin"/>
      </w:r>
      <w:r>
        <w:instrText xml:space="preserve"> HYPERLINK "https://doi.org/10.1109/CIC62241.2024.00013" </w:instrText>
      </w:r>
      <w:r>
        <w:fldChar w:fldCharType="separate"/>
      </w:r>
      <w:r>
        <w:rPr>
          <w:rStyle w:val="25"/>
        </w:rPr>
        <w:t>https://doi.org/10.1109/CIC62241.2024.00013</w:t>
      </w:r>
      <w:r>
        <w:rPr>
          <w:rStyle w:val="25"/>
        </w:rPr>
        <w:fldChar w:fldCharType="end"/>
      </w:r>
    </w:p>
    <w:p w14:paraId="3BADF972">
      <w:pPr>
        <w:ind w:left="420" w:hanging="420" w:hangingChars="200"/>
        <w:jc w:val="left"/>
      </w:pPr>
      <w:r>
        <w:t>Manly, T., Robertson, I. H., Galloway, M., &amp; Hawkins, K. (1999). The absent mind: Further investigations of sustained attention to response. </w:t>
      </w:r>
      <w:r>
        <w:rPr>
          <w:i/>
          <w:iCs/>
        </w:rPr>
        <w:t>Neuropsychologia, 37</w:t>
      </w:r>
      <w:r>
        <w:t>(6), 661–670. </w:t>
      </w:r>
      <w:r>
        <w:fldChar w:fldCharType="begin"/>
      </w:r>
      <w:r>
        <w:instrText xml:space="preserve"> HYPERLINK "https://doi.org/10.1016/S0028-3932(98)00127-4" </w:instrText>
      </w:r>
      <w:r>
        <w:fldChar w:fldCharType="separate"/>
      </w:r>
      <w:r>
        <w:rPr>
          <w:rStyle w:val="25"/>
        </w:rPr>
        <w:t>https://doi.org/10.1016/S0028-3932(98)00127-4</w:t>
      </w:r>
      <w:r>
        <w:rPr>
          <w:rStyle w:val="25"/>
        </w:rPr>
        <w:fldChar w:fldCharType="end"/>
      </w:r>
    </w:p>
    <w:p w14:paraId="1C476C20">
      <w:pPr>
        <w:ind w:left="420" w:hanging="420" w:hangingChars="200"/>
        <w:jc w:val="left"/>
      </w:pPr>
      <w:r>
        <w:t>Paterniani, G., Sgreccia, D., Davoli, A., Guerzoni, G., Di Viesti, P., Valenti, A. C., Vitolo, M., Vitetta, G. M., &amp; Boriani, G. (2023). Radar-based monitoring of vital signs: A tutorial overview. </w:t>
      </w:r>
      <w:r>
        <w:rPr>
          <w:i/>
          <w:iCs/>
        </w:rPr>
        <w:t>Proceedings of the IEEE, 111</w:t>
      </w:r>
      <w:r>
        <w:t>(3), 277–317. </w:t>
      </w:r>
      <w:r>
        <w:fldChar w:fldCharType="begin"/>
      </w:r>
      <w:r>
        <w:instrText xml:space="preserve"> HYPERLINK "https://doi.org/10.1109/JPROC.2023.3244362" </w:instrText>
      </w:r>
      <w:r>
        <w:fldChar w:fldCharType="separate"/>
      </w:r>
      <w:r>
        <w:rPr>
          <w:rStyle w:val="25"/>
        </w:rPr>
        <w:t>https://doi.org/10.1109/JPROC.2023.3244362</w:t>
      </w:r>
      <w:r>
        <w:rPr>
          <w:rStyle w:val="25"/>
        </w:rPr>
        <w:fldChar w:fldCharType="end"/>
      </w:r>
    </w:p>
    <w:p w14:paraId="7B0BB5B4">
      <w:pPr>
        <w:ind w:left="420" w:hanging="420" w:hangingChars="200"/>
        <w:jc w:val="left"/>
      </w:pPr>
      <w:r>
        <w:t>Robertson, I. H., Manly, T., Andrade, J., Baddeley, B. T., &amp; Yiend, J. (1997). ‘Oops!’: Performance correlates of everyday attentional failures in traumatic brain injured and normal subjects. </w:t>
      </w:r>
      <w:r>
        <w:rPr>
          <w:i/>
          <w:iCs/>
        </w:rPr>
        <w:t>Neuropsychologia, 35</w:t>
      </w:r>
      <w:r>
        <w:t>(6), 747–758. </w:t>
      </w:r>
      <w:r>
        <w:fldChar w:fldCharType="begin"/>
      </w:r>
      <w:r>
        <w:instrText xml:space="preserve"> HYPERLINK "https://doi.org/10.1016/S0028-3932(97)00015-8" </w:instrText>
      </w:r>
      <w:r>
        <w:fldChar w:fldCharType="separate"/>
      </w:r>
      <w:r>
        <w:rPr>
          <w:rStyle w:val="25"/>
        </w:rPr>
        <w:t>https://doi.org/10.1016/S0028-3932(97)00015-8</w:t>
      </w:r>
      <w:r>
        <w:rPr>
          <w:rStyle w:val="25"/>
        </w:rPr>
        <w:fldChar w:fldCharType="end"/>
      </w:r>
    </w:p>
    <w:p w14:paraId="0B46AF6F">
      <w:pPr>
        <w:ind w:left="420" w:hanging="420" w:hangingChars="200"/>
        <w:jc w:val="left"/>
      </w:pPr>
      <w:r>
        <w:t>Sarter, M., Givens, B., &amp; Bruno, J. P. (2001). The cognitive neuroscience of sustained attention: Where top-down meets bottom-up. </w:t>
      </w:r>
      <w:r>
        <w:rPr>
          <w:i/>
          <w:iCs/>
        </w:rPr>
        <w:t>Brain Research Reviews, 35</w:t>
      </w:r>
      <w:r>
        <w:t>(2), 146–160. </w:t>
      </w:r>
      <w:r>
        <w:fldChar w:fldCharType="begin"/>
      </w:r>
      <w:r>
        <w:instrText xml:space="preserve"> HYPERLINK "https://doi.org/10.1016/S0165-0173(01)00044-3" </w:instrText>
      </w:r>
      <w:r>
        <w:fldChar w:fldCharType="separate"/>
      </w:r>
      <w:r>
        <w:rPr>
          <w:rStyle w:val="25"/>
        </w:rPr>
        <w:t>https://doi.org/10.1016/S0165-0173(01)00044-3</w:t>
      </w:r>
      <w:r>
        <w:rPr>
          <w:rStyle w:val="25"/>
        </w:rPr>
        <w:fldChar w:fldCharType="end"/>
      </w:r>
    </w:p>
    <w:p w14:paraId="31C4DE50">
      <w:pPr>
        <w:ind w:left="420" w:hanging="420" w:hangingChars="200"/>
        <w:jc w:val="left"/>
      </w:pPr>
      <w:r>
        <w:t>Smallwood, J., &amp; Schooler, J. W. (2006). The restless mind. </w:t>
      </w:r>
      <w:r>
        <w:rPr>
          <w:i/>
          <w:iCs/>
        </w:rPr>
        <w:t>Psychological Bulletin, 132</w:t>
      </w:r>
      <w:r>
        <w:t>(6), 946–958. </w:t>
      </w:r>
      <w:r>
        <w:fldChar w:fldCharType="begin"/>
      </w:r>
      <w:r>
        <w:instrText xml:space="preserve"> HYPERLINK "https://doi.org/10.1037/0033-2909.132.6.946" </w:instrText>
      </w:r>
      <w:r>
        <w:fldChar w:fldCharType="separate"/>
      </w:r>
      <w:r>
        <w:rPr>
          <w:rStyle w:val="25"/>
        </w:rPr>
        <w:t>https://doi.org/10.1037/0033-2909.132.6.946</w:t>
      </w:r>
      <w:r>
        <w:rPr>
          <w:rStyle w:val="25"/>
        </w:rPr>
        <w:fldChar w:fldCharType="end"/>
      </w:r>
    </w:p>
    <w:p w14:paraId="6891643F">
      <w:pPr>
        <w:ind w:left="420" w:hanging="420" w:hangingChars="200"/>
        <w:jc w:val="left"/>
      </w:pPr>
      <w:r>
        <w:t>Wang, F., Zeng, X., Wu, C., Wang, B., &amp; Liu, K. J. R. (2021). mmHRV: Contactless heart rate variability monitoring using millimeter-wave radio. </w:t>
      </w:r>
      <w:r>
        <w:rPr>
          <w:i/>
          <w:iCs/>
        </w:rPr>
        <w:t>IEEE Internet of Things Journal, 8</w:t>
      </w:r>
      <w:r>
        <w:t>(22), 16623–16636. </w:t>
      </w:r>
      <w:r>
        <w:fldChar w:fldCharType="begin"/>
      </w:r>
      <w:r>
        <w:instrText xml:space="preserve"> HYPERLINK "https://doi.org/10.1109/JIOT.2021.3075167" </w:instrText>
      </w:r>
      <w:r>
        <w:fldChar w:fldCharType="separate"/>
      </w:r>
      <w:r>
        <w:rPr>
          <w:rStyle w:val="25"/>
        </w:rPr>
        <w:t>https://doi.org/10.1109/JIOT.2021.3075167</w:t>
      </w:r>
      <w:r>
        <w:rPr>
          <w:rStyle w:val="25"/>
        </w:rPr>
        <w:fldChar w:fldCharType="end"/>
      </w:r>
    </w:p>
    <w:p w14:paraId="0D98C6AA">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390A32D6">
      <w:pPr>
        <w:ind w:left="420" w:hanging="420" w:hangingChars="200"/>
        <w:jc w:val="left"/>
      </w:pPr>
      <w:r>
        <w:t>Manly, T., Robertson, I. H., Galloway, M., &amp; Hawkins, K. (1999). The absent mind: Further investigations of sustained attention to response. </w:t>
      </w:r>
      <w:r>
        <w:rPr>
          <w:i/>
          <w:iCs/>
        </w:rPr>
        <w:t>Neuropsychologia, 37</w:t>
      </w:r>
      <w:r>
        <w:t>(6), 661–670. </w:t>
      </w:r>
      <w:r>
        <w:fldChar w:fldCharType="begin"/>
      </w:r>
      <w:r>
        <w:instrText xml:space="preserve"> HYPERLINK "https://doi.org/10.1016/S0028-3932(98)00127-4" </w:instrText>
      </w:r>
      <w:r>
        <w:fldChar w:fldCharType="separate"/>
      </w:r>
      <w:r>
        <w:rPr>
          <w:rStyle w:val="25"/>
        </w:rPr>
        <w:t>https://doi.org/10.1016/S0028-3932(98)00127-4</w:t>
      </w:r>
      <w:r>
        <w:rPr>
          <w:rStyle w:val="25"/>
        </w:rPr>
        <w:fldChar w:fldCharType="end"/>
      </w:r>
    </w:p>
    <w:p w14:paraId="574D15BB">
      <w:pPr>
        <w:ind w:left="420" w:hanging="420" w:hangingChars="200"/>
        <w:jc w:val="left"/>
      </w:pPr>
      <w:r>
        <w:t>Robertson, I. H., Manly, T., Andrade, J., Baddeley, B. T., &amp; Yiend, J. (1997). ‘Oops!’: Performance correlates of everyday attentional failures in traumatic brain injured and normal subjects. </w:t>
      </w:r>
      <w:r>
        <w:rPr>
          <w:i/>
          <w:iCs/>
        </w:rPr>
        <w:t>Neuropsychologia, 35</w:t>
      </w:r>
      <w:r>
        <w:t>(6), 747–758. </w:t>
      </w:r>
      <w:r>
        <w:fldChar w:fldCharType="begin"/>
      </w:r>
      <w:r>
        <w:instrText xml:space="preserve"> HYPERLINK "https://doi.org/10.1016/S0028-3932(97)00015-8" </w:instrText>
      </w:r>
      <w:r>
        <w:fldChar w:fldCharType="separate"/>
      </w:r>
      <w:r>
        <w:rPr>
          <w:rStyle w:val="25"/>
        </w:rPr>
        <w:t>https://doi.org/10.1016/S0028-3932(97)00015-8</w:t>
      </w:r>
      <w:r>
        <w:rPr>
          <w:rStyle w:val="25"/>
        </w:rPr>
        <w:fldChar w:fldCharType="end"/>
      </w:r>
    </w:p>
    <w:p w14:paraId="4347868B">
      <w:pPr>
        <w:ind w:left="420" w:hanging="420" w:hangingChars="200"/>
        <w:jc w:val="left"/>
      </w:pPr>
      <w:r>
        <w:t>Sarter, M., Givens, B., &amp; Bruno, J. P. (2001). The cognitive neuroscience of sustained attention: Where top-down meets bottom-up. </w:t>
      </w:r>
      <w:r>
        <w:rPr>
          <w:i/>
          <w:iCs/>
        </w:rPr>
        <w:t>Brain Research Reviews, 35</w:t>
      </w:r>
      <w:r>
        <w:t>(2), 146–160. </w:t>
      </w:r>
      <w:r>
        <w:fldChar w:fldCharType="begin"/>
      </w:r>
      <w:r>
        <w:instrText xml:space="preserve"> HYPERLINK "https://doi.org/10.1016/S0165-0173(01)00044-3" </w:instrText>
      </w:r>
      <w:r>
        <w:fldChar w:fldCharType="separate"/>
      </w:r>
      <w:r>
        <w:rPr>
          <w:rStyle w:val="25"/>
        </w:rPr>
        <w:t>https://doi.org/10.1016/S0165-0173(01)00044-3</w:t>
      </w:r>
      <w:r>
        <w:rPr>
          <w:rStyle w:val="25"/>
        </w:rPr>
        <w:fldChar w:fldCharType="end"/>
      </w:r>
    </w:p>
    <w:p w14:paraId="2A0153A5">
      <w:pPr>
        <w:ind w:left="420" w:hanging="420" w:hangingChars="200"/>
        <w:jc w:val="left"/>
      </w:pPr>
      <w:r>
        <w:t>Seli, P., Cheyne, J. A., Barton, K. R., &amp; Smilek, D. (2012). Consistency of sustained attention across modalities: Comparing visual and auditory versions of the SART. </w:t>
      </w:r>
      <w:r>
        <w:rPr>
          <w:i/>
          <w:iCs/>
        </w:rPr>
        <w:t>Canadian Journal of Experimental Psychology, 66</w:t>
      </w:r>
      <w:r>
        <w:t>(1), 44–50. </w:t>
      </w:r>
      <w:r>
        <w:fldChar w:fldCharType="begin"/>
      </w:r>
      <w:r>
        <w:instrText xml:space="preserve"> HYPERLINK "https://doi.org/10.1037/a0025111" </w:instrText>
      </w:r>
      <w:r>
        <w:fldChar w:fldCharType="separate"/>
      </w:r>
      <w:r>
        <w:rPr>
          <w:rStyle w:val="25"/>
        </w:rPr>
        <w:t>https://doi.org/10.1037/a0025111</w:t>
      </w:r>
      <w:r>
        <w:rPr>
          <w:rStyle w:val="25"/>
        </w:rPr>
        <w:fldChar w:fldCharType="end"/>
      </w:r>
    </w:p>
    <w:p w14:paraId="0FF2AFEB">
      <w:pPr>
        <w:ind w:left="420" w:hanging="420" w:hangingChars="200"/>
        <w:jc w:val="left"/>
      </w:pPr>
      <w:r>
        <w:t>Smallwood, J., &amp; Schooler, J. W. (2015). The science of mind wandering: Empirically navigating the stream of consciousness. </w:t>
      </w:r>
      <w:r>
        <w:rPr>
          <w:i/>
          <w:iCs/>
        </w:rPr>
        <w:t>Annual Review of Psychology, 66</w:t>
      </w:r>
      <w:r>
        <w:t>, 487–518. </w:t>
      </w:r>
      <w:r>
        <w:fldChar w:fldCharType="begin"/>
      </w:r>
      <w:r>
        <w:instrText xml:space="preserve"> HYPERLINK "https://doi.org/10.1146/annurev-psych-010814-015331" </w:instrText>
      </w:r>
      <w:r>
        <w:fldChar w:fldCharType="separate"/>
      </w:r>
      <w:r>
        <w:rPr>
          <w:rStyle w:val="25"/>
        </w:rPr>
        <w:t>https://doi.org/10.1146/annurev-psych-010814-015331</w:t>
      </w:r>
      <w:r>
        <w:rPr>
          <w:rStyle w:val="25"/>
        </w:rPr>
        <w:fldChar w:fldCharType="end"/>
      </w:r>
    </w:p>
    <w:p w14:paraId="6C538F14">
      <w:pPr>
        <w:ind w:left="420" w:hanging="420" w:hangingChars="200"/>
        <w:jc w:val="left"/>
      </w:pPr>
      <w:r>
        <w:t>Wiemers, E. A., &amp; Redick, T. S. (2019). The influence of thought probes on performance: Does the mind wander more if you ask it? </w:t>
      </w:r>
      <w:r>
        <w:rPr>
          <w:i/>
          <w:iCs/>
        </w:rPr>
        <w:t>Psychonomic Bulletin &amp; Review, 26</w:t>
      </w:r>
      <w:r>
        <w:t>(1), 367–373. </w:t>
      </w:r>
      <w:r>
        <w:fldChar w:fldCharType="begin"/>
      </w:r>
      <w:r>
        <w:instrText xml:space="preserve"> HYPERLINK "https://doi.org/10.3758/s13423-018-1529-3" </w:instrText>
      </w:r>
      <w:r>
        <w:fldChar w:fldCharType="separate"/>
      </w:r>
      <w:r>
        <w:rPr>
          <w:rStyle w:val="25"/>
        </w:rPr>
        <w:t>https://doi.org/10.3758/s13423-018-1529-3</w:t>
      </w:r>
      <w:r>
        <w:rPr>
          <w:rStyle w:val="25"/>
        </w:rPr>
        <w:fldChar w:fldCharType="end"/>
      </w:r>
    </w:p>
    <w:p w14:paraId="0145C0A6">
      <w:pPr>
        <w:ind w:left="420" w:hanging="420" w:hangingChars="200"/>
        <w:jc w:val="left"/>
      </w:pPr>
      <w:r>
        <w:t>Barry, C., De Souza, J., Xuan, Y., Holden, J., Granholm, E., &amp; Wang, E. J. (2022). At-home pupillometry using smartphone facial identification cameras. In </w:t>
      </w:r>
      <w:r>
        <w:rPr>
          <w:i/>
          <w:iCs/>
        </w:rPr>
        <w:t>CHI Conference on Human Factors in Computing Systems</w:t>
      </w:r>
      <w:r>
        <w:t> (Article 235, pp. 1–12). Association for Computing Machinery. </w:t>
      </w:r>
      <w:r>
        <w:fldChar w:fldCharType="begin"/>
      </w:r>
      <w:r>
        <w:instrText xml:space="preserve"> HYPERLINK "https://doi.org/10.1145/3491102.3502493" </w:instrText>
      </w:r>
      <w:r>
        <w:fldChar w:fldCharType="separate"/>
      </w:r>
      <w:r>
        <w:rPr>
          <w:rStyle w:val="25"/>
        </w:rPr>
        <w:t>https://doi.org/10.1145/3491102.3502493</w:t>
      </w:r>
      <w:r>
        <w:rPr>
          <w:rStyle w:val="25"/>
        </w:rPr>
        <w:fldChar w:fldCharType="end"/>
      </w:r>
    </w:p>
    <w:p w14:paraId="6BFC434B">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47AE8DC8">
      <w:pPr>
        <w:ind w:left="420" w:hanging="420" w:hangingChars="200"/>
        <w:jc w:val="left"/>
      </w:pPr>
      <w:r>
        <w:t>Kim, J. H., Yin, C., Merriam, E. P., &amp; Roth, Z. N. (2023). Pupil size is sensitive to low-level stimulus features, independent of arousal-related modulation. </w:t>
      </w:r>
      <w:r>
        <w:rPr>
          <w:i/>
          <w:iCs/>
        </w:rPr>
        <w:t>eNeuro, 10</w:t>
      </w:r>
      <w:r>
        <w:t>(10), ENEURO.0005-23.2023. </w:t>
      </w:r>
      <w:r>
        <w:fldChar w:fldCharType="begin"/>
      </w:r>
      <w:r>
        <w:instrText xml:space="preserve"> HYPERLINK "https://doi.org/10.1523/ENEURO.0005-23.2023" </w:instrText>
      </w:r>
      <w:r>
        <w:fldChar w:fldCharType="separate"/>
      </w:r>
      <w:r>
        <w:rPr>
          <w:rStyle w:val="25"/>
        </w:rPr>
        <w:t>https://doi.org/10.1523/ENEURO.0005-23.2023</w:t>
      </w:r>
      <w:r>
        <w:rPr>
          <w:rStyle w:val="25"/>
        </w:rPr>
        <w:fldChar w:fldCharType="end"/>
      </w:r>
    </w:p>
    <w:p w14:paraId="0E820880">
      <w:pPr>
        <w:ind w:left="420" w:hanging="420" w:hangingChars="200"/>
        <w:jc w:val="left"/>
      </w:pPr>
      <w:r>
        <w:t>Kret, M. E., &amp; Sjak-Shie, E. E. (2019). Preprocessing pupil size data: Guidelines and code. </w:t>
      </w:r>
      <w:r>
        <w:rPr>
          <w:i/>
          <w:iCs/>
        </w:rPr>
        <w:t>Behavior Research Methods, 51</w:t>
      </w:r>
      <w:r>
        <w:t>(3), 1336–1342. </w:t>
      </w:r>
      <w:r>
        <w:fldChar w:fldCharType="begin"/>
      </w:r>
      <w:r>
        <w:instrText xml:space="preserve"> HYPERLINK "https://doi.org/10.3758/s13428-018-1075-y" </w:instrText>
      </w:r>
      <w:r>
        <w:fldChar w:fldCharType="separate"/>
      </w:r>
      <w:r>
        <w:rPr>
          <w:rStyle w:val="25"/>
        </w:rPr>
        <w:t>https://doi.org/10.3758/s13428-018-1075-y</w:t>
      </w:r>
      <w:r>
        <w:rPr>
          <w:rStyle w:val="25"/>
        </w:rPr>
        <w:fldChar w:fldCharType="end"/>
      </w:r>
    </w:p>
    <w:p w14:paraId="2D8CDDFC">
      <w:pPr>
        <w:ind w:left="420" w:hanging="420" w:hangingChars="200"/>
        <w:jc w:val="left"/>
      </w:pPr>
      <w:r>
        <w:t>Mathôt, S. (2018). Pupillometry: Psychology, physiology, and function. </w:t>
      </w:r>
      <w:r>
        <w:rPr>
          <w:i/>
          <w:iCs/>
        </w:rPr>
        <w:t>Journal of Cognition, 1</w:t>
      </w:r>
      <w:r>
        <w:t>(1), 16. </w:t>
      </w:r>
      <w:r>
        <w:fldChar w:fldCharType="begin"/>
      </w:r>
      <w:r>
        <w:instrText xml:space="preserve"> HYPERLINK "https://doi.org/10.5334/joc.18" </w:instrText>
      </w:r>
      <w:r>
        <w:fldChar w:fldCharType="separate"/>
      </w:r>
      <w:r>
        <w:rPr>
          <w:rStyle w:val="25"/>
        </w:rPr>
        <w:t>https://doi.org/10.5334/joc.18</w:t>
      </w:r>
      <w:r>
        <w:rPr>
          <w:rStyle w:val="25"/>
        </w:rPr>
        <w:fldChar w:fldCharType="end"/>
      </w:r>
    </w:p>
    <w:p w14:paraId="102CCAF7">
      <w:pPr>
        <w:ind w:left="420" w:hanging="420" w:hangingChars="200"/>
        <w:jc w:val="left"/>
      </w:pPr>
      <w:r>
        <w:t>Mathôt, S., Fabius, J., Van Heusden, E., &amp; Van der Stigchel, S. (2018). Safe and sensible preprocessing and baseline correction of pupil-size data. </w:t>
      </w:r>
      <w:r>
        <w:rPr>
          <w:i/>
          <w:iCs/>
        </w:rPr>
        <w:t>Behavior Research Methods, 50</w:t>
      </w:r>
      <w:r>
        <w:t>(1), 94–106. </w:t>
      </w:r>
      <w:r>
        <w:fldChar w:fldCharType="begin"/>
      </w:r>
      <w:r>
        <w:instrText xml:space="preserve"> HYPERLINK "https://doi.org/10.3758/s13428-017-1007-2" </w:instrText>
      </w:r>
      <w:r>
        <w:fldChar w:fldCharType="separate"/>
      </w:r>
      <w:r>
        <w:rPr>
          <w:rStyle w:val="25"/>
        </w:rPr>
        <w:t>https://doi.org/10.3758/s13428-017-1007-2</w:t>
      </w:r>
      <w:r>
        <w:rPr>
          <w:rStyle w:val="25"/>
        </w:rPr>
        <w:fldChar w:fldCharType="end"/>
      </w:r>
    </w:p>
    <w:p w14:paraId="217324F9">
      <w:pPr>
        <w:ind w:left="420" w:hanging="420" w:hangingChars="200"/>
        <w:jc w:val="left"/>
      </w:pPr>
      <w:r>
        <w:t>Strauch, C., Wang, C.-A., Einhäuser, W., Van der Stigchel, S., &amp; Naber, M. (2022). Pupillometry as an integrated readout of distinct attentional networks. </w:t>
      </w:r>
      <w:r>
        <w:rPr>
          <w:i/>
          <w:iCs/>
        </w:rPr>
        <w:t>Trends in Neurosciences, 45</w:t>
      </w:r>
      <w:r>
        <w:t>(8), 635–647. </w:t>
      </w:r>
      <w:r>
        <w:fldChar w:fldCharType="begin"/>
      </w:r>
      <w:r>
        <w:instrText xml:space="preserve"> HYPERLINK "https://doi.org/10.1016/j.tins.2022.05.003" </w:instrText>
      </w:r>
      <w:r>
        <w:fldChar w:fldCharType="separate"/>
      </w:r>
      <w:r>
        <w:rPr>
          <w:rStyle w:val="25"/>
        </w:rPr>
        <w:t>https://doi.org/10.1016/j.tins.2022.05.003</w:t>
      </w:r>
      <w:r>
        <w:rPr>
          <w:rStyle w:val="25"/>
        </w:rPr>
        <w:fldChar w:fldCharType="end"/>
      </w:r>
    </w:p>
    <w:p w14:paraId="595E239F">
      <w:pPr>
        <w:ind w:left="420" w:hanging="420" w:hangingChars="200"/>
        <w:jc w:val="left"/>
      </w:pPr>
      <w:r>
        <w:t>Unsworth, N., Robison, M. K., &amp; Miller, A. L. (2018). Pupillary correlates of fluctuations in sustained attention. </w:t>
      </w:r>
      <w:r>
        <w:rPr>
          <w:i/>
          <w:iCs/>
        </w:rPr>
        <w:t>Journal of Cognitive Neuroscience, 30</w:t>
      </w:r>
      <w:r>
        <w:t>(9), 1241–1253. </w:t>
      </w:r>
      <w:r>
        <w:fldChar w:fldCharType="begin"/>
      </w:r>
      <w:r>
        <w:instrText xml:space="preserve"> HYPERLINK "https://doi.org/10.1162/jocn_a_01251" </w:instrText>
      </w:r>
      <w:r>
        <w:fldChar w:fldCharType="separate"/>
      </w:r>
      <w:r>
        <w:rPr>
          <w:rStyle w:val="25"/>
        </w:rPr>
        <w:t>https://doi.org/10.1162/jocn_a_01251</w:t>
      </w:r>
      <w:r>
        <w:rPr>
          <w:rStyle w:val="25"/>
        </w:rPr>
        <w:fldChar w:fldCharType="end"/>
      </w:r>
    </w:p>
    <w:p w14:paraId="0B896953">
      <w:pPr>
        <w:ind w:left="420" w:hanging="420" w:hangingChars="200"/>
        <w:jc w:val="left"/>
      </w:pPr>
      <w:r>
        <w:t>van den Brink, R. L., Murphy, P. R., &amp; Nieuwenhuis, S. (2016). Pupil diameter tracks lapses of attention. </w:t>
      </w:r>
      <w:r>
        <w:rPr>
          <w:i/>
          <w:iCs/>
        </w:rPr>
        <w:t>PLOS ONE, 11</w:t>
      </w:r>
      <w:r>
        <w:t>(10), e0165274. </w:t>
      </w:r>
      <w:r>
        <w:fldChar w:fldCharType="begin"/>
      </w:r>
      <w:r>
        <w:instrText xml:space="preserve"> HYPERLINK "https://doi.org/10.1371/journal.pone.0165274" </w:instrText>
      </w:r>
      <w:r>
        <w:fldChar w:fldCharType="separate"/>
      </w:r>
      <w:r>
        <w:rPr>
          <w:rStyle w:val="25"/>
        </w:rPr>
        <w:t>https://doi.org/10.1371/journal.pone.0165274</w:t>
      </w:r>
      <w:r>
        <w:rPr>
          <w:rStyle w:val="25"/>
        </w:rPr>
        <w:fldChar w:fldCharType="end"/>
      </w:r>
    </w:p>
    <w:p w14:paraId="46CE2C79">
      <w:pPr>
        <w:ind w:left="420" w:hanging="420" w:hangingChars="200"/>
        <w:jc w:val="left"/>
      </w:pPr>
      <w:r>
        <w:t>Carriere, J. S. A., Seli, P., &amp; Smilek, D. (2013). Wandering in both mind and body: Individual differences in mind wandering and inattention predict fidgeting. </w:t>
      </w:r>
      <w:r>
        <w:rPr>
          <w:i/>
          <w:iCs/>
        </w:rPr>
        <w:t>Canadian Journal of Experimental Psychology, 67</w:t>
      </w:r>
      <w:r>
        <w:t>(1), 19–31. </w:t>
      </w:r>
      <w:r>
        <w:fldChar w:fldCharType="begin"/>
      </w:r>
      <w:r>
        <w:instrText xml:space="preserve"> HYPERLINK "https://doi.org/10.1037/a0031438" </w:instrText>
      </w:r>
      <w:r>
        <w:fldChar w:fldCharType="separate"/>
      </w:r>
      <w:r>
        <w:rPr>
          <w:rStyle w:val="25"/>
        </w:rPr>
        <w:t>https://doi.org/10.1037/a0031438</w:t>
      </w:r>
      <w:r>
        <w:rPr>
          <w:rStyle w:val="25"/>
        </w:rPr>
        <w:fldChar w:fldCharType="end"/>
      </w:r>
    </w:p>
    <w:p w14:paraId="6E8CEAD5">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2F19D528">
      <w:pPr>
        <w:ind w:left="420" w:hanging="420" w:hangingChars="200"/>
        <w:jc w:val="left"/>
      </w:pPr>
      <w:r>
        <w:t>Farley, J., Risko, E. F., &amp; Kingstone, A. (2013). Everyday attention and lecture retention: The effects of time, fidgeting, and mind wandering. </w:t>
      </w:r>
      <w:r>
        <w:rPr>
          <w:i/>
          <w:iCs/>
        </w:rPr>
        <w:t>Frontiers in Psychology, 4</w:t>
      </w:r>
      <w:r>
        <w:t>, 619. </w:t>
      </w:r>
      <w:r>
        <w:fldChar w:fldCharType="begin"/>
      </w:r>
      <w:r>
        <w:instrText xml:space="preserve"> HYPERLINK "https://doi.org/10.3389/fpsyg.2013.00619" </w:instrText>
      </w:r>
      <w:r>
        <w:fldChar w:fldCharType="separate"/>
      </w:r>
      <w:r>
        <w:rPr>
          <w:rStyle w:val="25"/>
        </w:rPr>
        <w:t>https://doi.org/10.3389/fpsyg.2013.00619</w:t>
      </w:r>
      <w:r>
        <w:rPr>
          <w:rStyle w:val="25"/>
        </w:rPr>
        <w:fldChar w:fldCharType="end"/>
      </w:r>
    </w:p>
    <w:p w14:paraId="0D13290A">
      <w:pPr>
        <w:ind w:left="420" w:hanging="420" w:hangingChars="200"/>
        <w:jc w:val="left"/>
      </w:pPr>
      <w:r>
        <w:t>Hansen, A. L., Johnsen, B. H., &amp; Thayer, J. F. (2003). Vagal influence on working memory and attention. </w:t>
      </w:r>
      <w:r>
        <w:rPr>
          <w:i/>
          <w:iCs/>
        </w:rPr>
        <w:t>International Journal of Psychophysiology, 48</w:t>
      </w:r>
      <w:r>
        <w:t>(3), 263–274. </w:t>
      </w:r>
      <w:r>
        <w:fldChar w:fldCharType="begin"/>
      </w:r>
      <w:r>
        <w:instrText xml:space="preserve"> HYPERLINK "https://doi.org/10.1016/S0167-8760(03)00073-4" </w:instrText>
      </w:r>
      <w:r>
        <w:fldChar w:fldCharType="separate"/>
      </w:r>
      <w:r>
        <w:rPr>
          <w:rStyle w:val="25"/>
        </w:rPr>
        <w:t>https://doi.org/10.1016/S0167-8760(03)00073-4</w:t>
      </w:r>
      <w:r>
        <w:rPr>
          <w:rStyle w:val="25"/>
        </w:rPr>
        <w:fldChar w:fldCharType="end"/>
      </w:r>
    </w:p>
    <w:p w14:paraId="331A1F61">
      <w:pPr>
        <w:ind w:left="420" w:hanging="420" w:hangingChars="20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r>
        <w:fldChar w:fldCharType="begin"/>
      </w:r>
      <w:r>
        <w:instrText xml:space="preserve"> HYPERLINK "https://doi.org/10.1111/psyp.13091" </w:instrText>
      </w:r>
      <w:r>
        <w:fldChar w:fldCharType="separate"/>
      </w:r>
      <w:r>
        <w:rPr>
          <w:rStyle w:val="25"/>
        </w:rPr>
        <w:t>https://doi.org/10.1111/psyp.13091</w:t>
      </w:r>
      <w:r>
        <w:rPr>
          <w:rStyle w:val="25"/>
        </w:rPr>
        <w:fldChar w:fldCharType="end"/>
      </w:r>
    </w:p>
    <w:p w14:paraId="0C328F4D">
      <w:pPr>
        <w:ind w:left="420" w:hanging="420" w:hangingChars="20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r>
        <w:fldChar w:fldCharType="begin"/>
      </w:r>
      <w:r>
        <w:instrText xml:space="preserve"> HYPERLINK "https://doi.org/10.1016/j.concog.2004.06.003" </w:instrText>
      </w:r>
      <w:r>
        <w:fldChar w:fldCharType="separate"/>
      </w:r>
      <w:r>
        <w:rPr>
          <w:rStyle w:val="25"/>
        </w:rPr>
        <w:t>https://doi.org/10.1016/j.concog.2004.06.003</w:t>
      </w:r>
      <w:r>
        <w:rPr>
          <w:rStyle w:val="25"/>
        </w:rPr>
        <w:fldChar w:fldCharType="end"/>
      </w:r>
    </w:p>
    <w:p w14:paraId="0AB04642">
      <w:pPr>
        <w:ind w:left="420" w:hanging="420" w:hangingChars="20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r>
        <w:fldChar w:fldCharType="begin"/>
      </w:r>
      <w:r>
        <w:instrText xml:space="preserve"> HYPERLINK "https://doi.org/10.1007/s12144-026-09946-1" </w:instrText>
      </w:r>
      <w:r>
        <w:fldChar w:fldCharType="separate"/>
      </w:r>
      <w:r>
        <w:rPr>
          <w:rStyle w:val="25"/>
        </w:rPr>
        <w:t>https://doi.org/10.1007/s12144-026-09946-1</w:t>
      </w:r>
      <w:r>
        <w:rPr>
          <w:rStyle w:val="25"/>
        </w:rPr>
        <w:fldChar w:fldCharType="end"/>
      </w:r>
    </w:p>
    <w:p w14:paraId="33F15A09">
      <w:pPr>
        <w:ind w:left="420" w:hanging="420" w:hangingChars="200"/>
        <w:jc w:val="left"/>
      </w:pPr>
      <w:r>
        <w:t>Bosch, N., &amp; D'Mello, S. K. (2021). Automatic detection of mind wandering from video in the lab and in the classroom. </w:t>
      </w:r>
      <w:r>
        <w:rPr>
          <w:i/>
          <w:iCs/>
        </w:rPr>
        <w:t>IEEE Transactions on Affective Computing, 12</w:t>
      </w:r>
      <w:r>
        <w:t>(4), 974–988. </w:t>
      </w:r>
      <w:r>
        <w:fldChar w:fldCharType="begin"/>
      </w:r>
      <w:r>
        <w:instrText xml:space="preserve"> HYPERLINK "https://doi.org/10.1109/TAFFC.2019.2908837" </w:instrText>
      </w:r>
      <w:r>
        <w:fldChar w:fldCharType="separate"/>
      </w:r>
      <w:r>
        <w:rPr>
          <w:rStyle w:val="25"/>
        </w:rPr>
        <w:t>https://doi.org/10.1109/TAFFC.2019.2908837</w:t>
      </w:r>
      <w:r>
        <w:rPr>
          <w:rStyle w:val="25"/>
        </w:rPr>
        <w:fldChar w:fldCharType="end"/>
      </w:r>
    </w:p>
    <w:p w14:paraId="4D17DD17">
      <w:pPr>
        <w:ind w:left="420" w:hanging="420" w:hangingChars="200"/>
        <w:jc w:val="left"/>
      </w:pPr>
      <w:r>
        <w:t>Chen, Y., Yuan, J., &amp; Tang, J. (2024). A high precision vital signs detection method based on millimeter wave radar. </w:t>
      </w:r>
      <w:r>
        <w:rPr>
          <w:i/>
          <w:iCs/>
        </w:rPr>
        <w:t>Scientific Reports, 14</w:t>
      </w:r>
      <w:r>
        <w:t>, 25535. </w:t>
      </w:r>
      <w:r>
        <w:fldChar w:fldCharType="begin"/>
      </w:r>
      <w:r>
        <w:instrText xml:space="preserve"> HYPERLINK "https://doi.org/10.1038/s41598-024-77683-1" </w:instrText>
      </w:r>
      <w:r>
        <w:fldChar w:fldCharType="separate"/>
      </w:r>
      <w:r>
        <w:rPr>
          <w:rStyle w:val="25"/>
        </w:rPr>
        <w:t>https://doi.org/10.1038/s41598-024-77683-1</w:t>
      </w:r>
      <w:r>
        <w:rPr>
          <w:rStyle w:val="25"/>
        </w:rPr>
        <w:fldChar w:fldCharType="end"/>
      </w:r>
    </w:p>
    <w:p w14:paraId="2789A2AF">
      <w:pPr>
        <w:ind w:left="420" w:hanging="420" w:hangingChars="20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r>
        <w:fldChar w:fldCharType="begin"/>
      </w:r>
      <w:r>
        <w:instrText xml:space="preserve"> HYPERLINK "https://doi.org/10.1109/CIC62241.2024.00013" </w:instrText>
      </w:r>
      <w:r>
        <w:fldChar w:fldCharType="separate"/>
      </w:r>
      <w:r>
        <w:rPr>
          <w:rStyle w:val="25"/>
        </w:rPr>
        <w:t>https://doi.org/10.1109/CIC62241.2024.00013</w:t>
      </w:r>
      <w:r>
        <w:rPr>
          <w:rStyle w:val="25"/>
        </w:rPr>
        <w:fldChar w:fldCharType="end"/>
      </w:r>
    </w:p>
    <w:p w14:paraId="6632D98E">
      <w:pPr>
        <w:ind w:left="420" w:hanging="420" w:hangingChars="200"/>
        <w:jc w:val="left"/>
      </w:pPr>
      <w:r>
        <w:t>Paterniani, G., Sgreccia, D., Davoli, A., Guerzoni, G., Di Viesti, P., Valenti, A. C., Vitolo, M., Vitetta, G. M., &amp; Boriani, G. (2023). Radar-based monitoring of vital signs: A tutorial overview. </w:t>
      </w:r>
      <w:r>
        <w:rPr>
          <w:i/>
          <w:iCs/>
        </w:rPr>
        <w:t>Proceedings of the IEEE, 111</w:t>
      </w:r>
      <w:r>
        <w:t>(3), 277–317. </w:t>
      </w:r>
      <w:r>
        <w:fldChar w:fldCharType="begin"/>
      </w:r>
      <w:r>
        <w:instrText xml:space="preserve"> HYPERLINK "https://doi.org/10.1109/JPROC.2023.3244362" </w:instrText>
      </w:r>
      <w:r>
        <w:fldChar w:fldCharType="separate"/>
      </w:r>
      <w:r>
        <w:rPr>
          <w:rStyle w:val="25"/>
        </w:rPr>
        <w:t>https://doi.org/10.1109/JPROC.2023.3244362</w:t>
      </w:r>
      <w:r>
        <w:rPr>
          <w:rStyle w:val="25"/>
        </w:rPr>
        <w:fldChar w:fldCharType="end"/>
      </w:r>
    </w:p>
    <w:p w14:paraId="47D10F73">
      <w:pPr>
        <w:ind w:left="420" w:hanging="420" w:hangingChars="200"/>
        <w:jc w:val="left"/>
      </w:pPr>
      <w:r>
        <w:t>Wang, F., Zeng, X., Wu, C., Wang, B., &amp; Liu, K. J. R. (2021). mmHRV: Contactless heart rate variability monitoring using millimeter-wave radio. </w:t>
      </w:r>
      <w:r>
        <w:rPr>
          <w:i/>
          <w:iCs/>
        </w:rPr>
        <w:t>IEEE Internet of Things Journal, 8</w:t>
      </w:r>
      <w:r>
        <w:t>(22), 16623–16636. </w:t>
      </w:r>
      <w:r>
        <w:fldChar w:fldCharType="begin"/>
      </w:r>
      <w:r>
        <w:instrText xml:space="preserve"> HYPERLINK "https://doi.org/10.1109/JIOT.2021.3075167" </w:instrText>
      </w:r>
      <w:r>
        <w:fldChar w:fldCharType="separate"/>
      </w:r>
      <w:r>
        <w:rPr>
          <w:rStyle w:val="25"/>
        </w:rPr>
        <w:t>https://doi.org/10.1109/JIOT.2021.3075167</w:t>
      </w:r>
      <w:r>
        <w:rPr>
          <w:rStyle w:val="25"/>
        </w:rPr>
        <w:fldChar w:fldCharType="end"/>
      </w:r>
    </w:p>
    <w:p w14:paraId="3A4A9A13">
      <w:pPr>
        <w:ind w:left="420" w:hanging="420" w:hangingChars="20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r>
        <w:fldChar w:fldCharType="begin"/>
      </w:r>
      <w:r>
        <w:instrText xml:space="preserve"> HYPERLINK "https://doi.org/10.1109/JIOT.2026.3670444" </w:instrText>
      </w:r>
      <w:r>
        <w:fldChar w:fldCharType="separate"/>
      </w:r>
      <w:r>
        <w:rPr>
          <w:rStyle w:val="25"/>
        </w:rPr>
        <w:t>https://doi.org/10.1109/JIOT.2026.3670444</w:t>
      </w:r>
      <w:r>
        <w:rPr>
          <w:rStyle w:val="25"/>
        </w:rPr>
        <w:fldChar w:fldCharType="end"/>
      </w:r>
    </w:p>
    <w:p w14:paraId="5B05A8F0">
      <w:pPr>
        <w:ind w:left="420" w:hanging="420" w:hangingChars="200"/>
        <w:jc w:val="left"/>
      </w:pPr>
      <w:r>
        <w:t>Zhu, J., Cao, J., Yang, Y., Ren, W., &amp; Han, H. (2023). mmDrive: Fine-grained fatigue driving detection using mmWave radar. </w:t>
      </w:r>
      <w:r>
        <w:rPr>
          <w:i/>
          <w:iCs/>
        </w:rPr>
        <w:t>ACM Transactions on Internet of Things, 4</w:t>
      </w:r>
      <w:r>
        <w:t>(4), Article 26, 1–30. </w:t>
      </w:r>
      <w:r>
        <w:fldChar w:fldCharType="begin"/>
      </w:r>
      <w:r>
        <w:instrText xml:space="preserve"> HYPERLINK "https://doi.org/10.1145/3614437" </w:instrText>
      </w:r>
      <w:r>
        <w:fldChar w:fldCharType="separate"/>
      </w:r>
      <w:r>
        <w:rPr>
          <w:rStyle w:val="25"/>
        </w:rPr>
        <w:t>https://doi.org/10.1145/3614437</w:t>
      </w:r>
      <w:r>
        <w:rPr>
          <w:rStyle w:val="25"/>
        </w:rPr>
        <w:fldChar w:fldCharType="end"/>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